
<file path=[Content_Types].xml><?xml version="1.0" encoding="utf-8"?>
<Types xmlns="http://schemas.openxmlformats.org/package/2006/content-types">
  <Default Extension="xml" ContentType="application/xml"/>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国有建设用地使用权拍卖出让文件</w:t>
      </w:r>
    </w:p>
    <w:p>
      <w:pPr>
        <w:rPr>
          <w:rFonts w:ascii="Times New Roman" w:hAnsi="Times New Roman" w:cs="Times New Roman"/>
          <w:highlight w:val="none"/>
        </w:rPr>
      </w:pPr>
    </w:p>
    <w:p>
      <w:pPr>
        <w:rPr>
          <w:rFonts w:ascii="Times New Roman" w:hAnsi="Times New Roman" w:cs="Times New Roman"/>
          <w:highlight w:val="none"/>
        </w:rPr>
      </w:pPr>
    </w:p>
    <w:p>
      <w:pPr>
        <w:pStyle w:val="18"/>
        <w:ind w:firstLine="210"/>
        <w:rPr>
          <w:rFonts w:ascii="Times New Roman" w:hAnsi="Times New Roman" w:cs="Times New Roman"/>
          <w:highlight w:val="none"/>
        </w:rPr>
      </w:pPr>
    </w:p>
    <w:p>
      <w:pPr>
        <w:pStyle w:val="18"/>
        <w:ind w:firstLine="210"/>
        <w:rPr>
          <w:rFonts w:ascii="Times New Roman" w:hAnsi="Times New Roman" w:cs="Times New Roman"/>
          <w:highlight w:val="none"/>
        </w:rPr>
      </w:pPr>
    </w:p>
    <w:p>
      <w:pPr>
        <w:pStyle w:val="18"/>
        <w:ind w:firstLine="210"/>
        <w:rPr>
          <w:rFonts w:ascii="Times New Roman" w:hAnsi="Times New Roman" w:cs="Times New Roman"/>
          <w:highlight w:val="none"/>
        </w:rPr>
      </w:pPr>
    </w:p>
    <w:p>
      <w:pPr>
        <w:ind w:left="2719" w:leftChars="247" w:hanging="2200" w:hangingChars="500"/>
        <w:jc w:val="left"/>
        <w:rPr>
          <w:rFonts w:hint="default" w:ascii="方正小标宋_GBK" w:hAnsi="Times New Roman" w:eastAsia="方正小标宋_GBK" w:cs="Times New Roman"/>
          <w:bCs/>
          <w:sz w:val="44"/>
          <w:szCs w:val="44"/>
          <w:highlight w:val="none"/>
          <w:u w:val="none"/>
          <w:lang w:val="en-US" w:eastAsia="zh-CN"/>
        </w:rPr>
      </w:pPr>
      <w:r>
        <w:rPr>
          <w:rFonts w:hint="eastAsia" w:ascii="方正小标宋_GBK" w:hAnsi="Times New Roman" w:eastAsia="方正小标宋_GBK" w:cs="Times New Roman"/>
          <w:bCs/>
          <w:sz w:val="44"/>
          <w:szCs w:val="44"/>
          <w:highlight w:val="none"/>
        </w:rPr>
        <w:t>地块位置：</w:t>
      </w:r>
      <w:r>
        <w:rPr>
          <w:rFonts w:hint="eastAsia" w:ascii="方正小标宋_GBK" w:hAnsi="Times New Roman" w:eastAsia="方正小标宋_GBK" w:cs="Times New Roman"/>
          <w:bCs/>
          <w:sz w:val="44"/>
          <w:szCs w:val="44"/>
          <w:highlight w:val="none"/>
          <w:u w:val="single"/>
          <w:lang w:val="en-US" w:eastAsia="zh-CN"/>
        </w:rPr>
        <w:t xml:space="preserve">   </w:t>
      </w:r>
      <w:r>
        <w:rPr>
          <w:rFonts w:hint="eastAsia" w:ascii="方正小标宋_GBK" w:hAnsi="Times New Roman" w:eastAsia="方正小标宋_GBK" w:cs="Times New Roman"/>
          <w:bCs/>
          <w:sz w:val="44"/>
          <w:szCs w:val="44"/>
          <w:highlight w:val="none"/>
          <w:u w:val="single"/>
          <w:lang w:eastAsia="zh-CN"/>
        </w:rPr>
        <w:t>雁溪湖综合服务组团</w:t>
      </w:r>
      <w:r>
        <w:rPr>
          <w:rFonts w:hint="eastAsia" w:ascii="方正小标宋_GBK" w:hAnsi="Times New Roman" w:eastAsia="方正小标宋_GBK" w:cs="Times New Roman"/>
          <w:bCs/>
          <w:sz w:val="44"/>
          <w:szCs w:val="44"/>
          <w:highlight w:val="none"/>
          <w:u w:val="single"/>
          <w:lang w:val="en-US" w:eastAsia="zh-CN"/>
        </w:rPr>
        <w:t xml:space="preserve">   </w:t>
      </w:r>
    </w:p>
    <w:p>
      <w:pPr>
        <w:rPr>
          <w:rFonts w:ascii="Times New Roman" w:hAnsi="Times New Roman" w:cs="Times New Roman"/>
          <w:highlight w:val="none"/>
        </w:rPr>
      </w:pPr>
    </w:p>
    <w:p>
      <w:pPr>
        <w:rPr>
          <w:rFonts w:ascii="Times New Roman" w:hAnsi="Times New Roman" w:cs="Times New Roman"/>
          <w:highlight w:val="none"/>
        </w:rPr>
      </w:pPr>
    </w:p>
    <w:p>
      <w:pPr>
        <w:pStyle w:val="18"/>
        <w:ind w:firstLine="210"/>
        <w:rPr>
          <w:rFonts w:ascii="Times New Roman" w:hAnsi="Times New Roman" w:cs="Times New Roman"/>
          <w:highlight w:val="none"/>
        </w:rPr>
      </w:pPr>
    </w:p>
    <w:p>
      <w:pPr>
        <w:pStyle w:val="18"/>
        <w:ind w:firstLine="210"/>
        <w:rPr>
          <w:rFonts w:ascii="Times New Roman" w:hAnsi="Times New Roman" w:cs="Times New Roman"/>
          <w:highlight w:val="none"/>
        </w:rPr>
      </w:pPr>
    </w:p>
    <w:p>
      <w:pPr>
        <w:ind w:firstLine="440" w:firstLineChars="100"/>
        <w:rPr>
          <w:rFonts w:ascii="Times New Roman" w:hAnsi="Times New Roman" w:eastAsia="方正小标宋_GBK" w:cs="Times New Roman"/>
          <w:bCs/>
          <w:sz w:val="44"/>
          <w:szCs w:val="44"/>
          <w:highlight w:val="none"/>
          <w:u w:val="single"/>
        </w:rPr>
      </w:pPr>
      <w:r>
        <w:rPr>
          <w:rFonts w:ascii="Times New Roman" w:hAnsi="Times New Roman" w:eastAsia="方正小标宋_GBK" w:cs="Times New Roman"/>
          <w:bCs/>
          <w:sz w:val="44"/>
          <w:szCs w:val="44"/>
          <w:highlight w:val="none"/>
        </w:rPr>
        <w:t>地块编号：</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rPr>
        <w:t xml:space="preserve">   LKYD—2022—009</w:t>
      </w:r>
      <w:r>
        <w:rPr>
          <w:rFonts w:hint="eastAsia" w:ascii="Times New Roman" w:hAnsi="Times New Roman" w:eastAsia="方正小标宋_GBK" w:cs="Times New Roman"/>
          <w:bCs/>
          <w:sz w:val="44"/>
          <w:szCs w:val="44"/>
          <w:highlight w:val="none"/>
          <w:u w:val="single"/>
          <w:lang w:val="en-US" w:eastAsia="zh-CN"/>
        </w:rPr>
        <w:t xml:space="preserve">  </w:t>
      </w:r>
      <w:r>
        <w:rPr>
          <w:rFonts w:hint="eastAsia" w:ascii="Times New Roman" w:hAnsi="Times New Roman" w:eastAsia="方正小标宋_GBK" w:cs="Times New Roman"/>
          <w:bCs/>
          <w:sz w:val="44"/>
          <w:szCs w:val="44"/>
          <w:highlight w:val="none"/>
          <w:u w:val="single"/>
        </w:rPr>
        <w:t xml:space="preserve"> </w:t>
      </w:r>
    </w:p>
    <w:p>
      <w:pPr>
        <w:rPr>
          <w:rFonts w:ascii="Times New Roman" w:hAnsi="Times New Roman" w:eastAsia="宋体-方正超大字符集" w:cs="Times New Roman"/>
          <w:b/>
          <w:sz w:val="44"/>
          <w:szCs w:val="44"/>
          <w:highlight w:val="none"/>
        </w:rPr>
      </w:pPr>
    </w:p>
    <w:p>
      <w:pPr>
        <w:rPr>
          <w:rFonts w:ascii="Times New Roman" w:hAnsi="Times New Roman" w:eastAsia="方正大标宋_GBK" w:cs="Times New Roman"/>
          <w:b/>
          <w:sz w:val="52"/>
          <w:szCs w:val="52"/>
          <w:highlight w:val="none"/>
        </w:rPr>
      </w:pPr>
    </w:p>
    <w:p>
      <w:pPr>
        <w:pStyle w:val="18"/>
        <w:ind w:firstLine="210"/>
        <w:rPr>
          <w:rFonts w:ascii="Times New Roman" w:hAnsi="Times New Roman" w:cs="Times New Roman"/>
          <w:highlight w:val="none"/>
        </w:rPr>
      </w:pPr>
    </w:p>
    <w:p>
      <w:pPr>
        <w:ind w:firstLine="440" w:firstLineChars="100"/>
        <w:rPr>
          <w:rFonts w:ascii="Times New Roman" w:hAnsi="Times New Roman" w:eastAsia="方正小标宋_GBK" w:cs="Times New Roman"/>
          <w:bCs/>
          <w:sz w:val="44"/>
          <w:szCs w:val="44"/>
          <w:highlight w:val="none"/>
          <w:u w:val="single"/>
        </w:rPr>
      </w:pPr>
      <w:r>
        <w:rPr>
          <w:rFonts w:ascii="Times New Roman" w:hAnsi="Times New Roman" w:eastAsia="方正小标宋_GBK" w:cs="Times New Roman"/>
          <w:bCs/>
          <w:sz w:val="44"/>
          <w:szCs w:val="44"/>
          <w:highlight w:val="none"/>
        </w:rPr>
        <w:t>宗地代码：</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rPr>
        <w:t xml:space="preserve">  512002009022GB00002  </w:t>
      </w:r>
    </w:p>
    <w:p>
      <w:pPr>
        <w:rPr>
          <w:rFonts w:ascii="Times New Roman" w:hAnsi="Times New Roman" w:eastAsia="宋体-方正超大字符集" w:cs="Times New Roman"/>
          <w:b/>
          <w:sz w:val="44"/>
          <w:szCs w:val="44"/>
          <w:highlight w:val="none"/>
        </w:rPr>
      </w:pPr>
    </w:p>
    <w:p>
      <w:pPr>
        <w:pStyle w:val="18"/>
        <w:ind w:firstLine="210"/>
        <w:rPr>
          <w:rFonts w:ascii="Times New Roman" w:hAnsi="Times New Roman" w:cs="Times New Roman"/>
          <w:highlight w:val="none"/>
        </w:rPr>
      </w:pPr>
    </w:p>
    <w:p>
      <w:pPr>
        <w:pStyle w:val="18"/>
        <w:ind w:firstLine="210"/>
        <w:rPr>
          <w:rFonts w:ascii="Times New Roman" w:hAnsi="Times New Roman" w:cs="Times New Roman"/>
          <w:highlight w:val="none"/>
        </w:rPr>
      </w:pPr>
    </w:p>
    <w:p>
      <w:pPr>
        <w:pStyle w:val="18"/>
        <w:spacing w:line="600" w:lineRule="exact"/>
        <w:ind w:firstLine="0" w:firstLineChars="0"/>
        <w:rPr>
          <w:rFonts w:ascii="Times New Roman" w:hAnsi="Times New Roman" w:cs="Times New Roman"/>
          <w:b/>
          <w:highlight w:val="none"/>
        </w:rPr>
      </w:pPr>
    </w:p>
    <w:p>
      <w:pPr>
        <w:spacing w:line="600" w:lineRule="exact"/>
        <w:rPr>
          <w:rFonts w:ascii="Times New Roman" w:hAnsi="Times New Roman" w:eastAsia="仿宋_GB2312" w:cs="Times New Roman"/>
          <w:b/>
          <w:bCs/>
          <w:sz w:val="44"/>
          <w:szCs w:val="44"/>
          <w:highlight w:val="none"/>
        </w:rPr>
      </w:pPr>
      <w:r>
        <w:rPr>
          <w:rFonts w:ascii="Times New Roman" w:hAnsi="Times New Roman" w:eastAsia="仿宋_GB2312" w:cs="Times New Roman"/>
          <w:b/>
          <w:bCs/>
          <w:sz w:val="44"/>
          <w:szCs w:val="44"/>
          <w:highlight w:val="none"/>
        </w:rPr>
        <w:t>资阳市政府政务服务和公共资源交易服务中心</w:t>
      </w:r>
    </w:p>
    <w:p>
      <w:pPr>
        <w:spacing w:line="600" w:lineRule="exact"/>
        <w:jc w:val="center"/>
        <w:rPr>
          <w:rFonts w:ascii="Times New Roman" w:hAnsi="Times New Roman" w:eastAsia="仿宋_GB2312" w:cs="Times New Roman"/>
          <w:b/>
          <w:bCs/>
          <w:sz w:val="44"/>
          <w:szCs w:val="44"/>
          <w:highlight w:val="none"/>
        </w:rPr>
      </w:pPr>
    </w:p>
    <w:p>
      <w:pPr>
        <w:spacing w:line="600" w:lineRule="exact"/>
        <w:jc w:val="center"/>
        <w:rPr>
          <w:rFonts w:ascii="Times New Roman" w:hAnsi="Times New Roman" w:eastAsia="仿宋_GB2312" w:cs="Times New Roman"/>
          <w:bCs/>
          <w:sz w:val="44"/>
          <w:szCs w:val="44"/>
          <w:highlight w:val="none"/>
        </w:rPr>
      </w:pPr>
      <w:r>
        <w:rPr>
          <w:rFonts w:hint="eastAsia" w:ascii="Times New Roman" w:hAnsi="Times New Roman" w:eastAsia="仿宋_GB2312" w:cs="Times New Roman"/>
          <w:b/>
          <w:bCs/>
          <w:sz w:val="44"/>
          <w:szCs w:val="44"/>
          <w:highlight w:val="none"/>
          <w:lang w:val="en-US" w:eastAsia="zh-CN"/>
        </w:rPr>
        <w:t xml:space="preserve">         </w:t>
      </w:r>
      <w:r>
        <w:rPr>
          <w:rFonts w:ascii="Times New Roman" w:hAnsi="Times New Roman" w:eastAsia="仿宋_GB2312" w:cs="Times New Roman"/>
          <w:b/>
          <w:bCs/>
          <w:sz w:val="44"/>
          <w:szCs w:val="44"/>
          <w:highlight w:val="none"/>
        </w:rPr>
        <w:t>2022年</w:t>
      </w:r>
      <w:r>
        <w:rPr>
          <w:rFonts w:hint="eastAsia" w:ascii="Times New Roman" w:hAnsi="Times New Roman" w:eastAsia="仿宋_GB2312" w:cs="Times New Roman"/>
          <w:b/>
          <w:bCs/>
          <w:sz w:val="44"/>
          <w:szCs w:val="44"/>
          <w:highlight w:val="none"/>
          <w:lang w:val="en-US" w:eastAsia="zh-CN"/>
        </w:rPr>
        <w:t>7</w:t>
      </w:r>
      <w:r>
        <w:rPr>
          <w:rFonts w:ascii="Times New Roman" w:hAnsi="Times New Roman" w:eastAsia="仿宋_GB2312" w:cs="Times New Roman"/>
          <w:b/>
          <w:bCs/>
          <w:sz w:val="44"/>
          <w:szCs w:val="44"/>
          <w:highlight w:val="none"/>
        </w:rPr>
        <w:t>月</w:t>
      </w:r>
      <w:r>
        <w:rPr>
          <w:rFonts w:hint="eastAsia" w:ascii="Times New Roman" w:hAnsi="Times New Roman" w:eastAsia="仿宋_GB2312" w:cs="Times New Roman"/>
          <w:b/>
          <w:bCs/>
          <w:sz w:val="44"/>
          <w:szCs w:val="44"/>
          <w:highlight w:val="none"/>
          <w:lang w:val="en-US" w:eastAsia="zh-CN"/>
        </w:rPr>
        <w:t>18</w:t>
      </w:r>
      <w:r>
        <w:rPr>
          <w:rFonts w:ascii="Times New Roman" w:hAnsi="Times New Roman" w:eastAsia="仿宋_GB2312" w:cs="Times New Roman"/>
          <w:b/>
          <w:bCs/>
          <w:sz w:val="44"/>
          <w:szCs w:val="44"/>
          <w:highlight w:val="none"/>
        </w:rPr>
        <w:t>日</w:t>
      </w:r>
    </w:p>
    <w:p>
      <w:pPr>
        <w:pStyle w:val="2"/>
        <w:ind w:firstLine="210"/>
        <w:rPr>
          <w:highlight w:val="none"/>
        </w:rPr>
        <w:sectPr>
          <w:footerReference r:id="rId3" w:type="default"/>
          <w:pgSz w:w="11906" w:h="16838"/>
          <w:pgMar w:top="2098" w:right="1474" w:bottom="1985" w:left="1588" w:header="851" w:footer="1247" w:gutter="0"/>
          <w:pgNumType w:start="1"/>
          <w:cols w:space="720" w:num="1"/>
          <w:docGrid w:linePitch="312" w:charSpace="0"/>
        </w:sectPr>
      </w:pPr>
    </w:p>
    <w:p>
      <w:pPr>
        <w:pStyle w:val="2"/>
        <w:ind w:firstLine="210"/>
        <w:rPr>
          <w:highlight w:val="none"/>
        </w:rPr>
      </w:pPr>
    </w:p>
    <w:p>
      <w:pPr>
        <w:pStyle w:val="2"/>
        <w:ind w:firstLine="210"/>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18"/>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w:t>
      </w:r>
      <w:r>
        <w:rPr>
          <w:rFonts w:hint="eastAsia" w:ascii="Times New Roman" w:hAnsi="Times New Roman" w:eastAsia="方正仿宋_GBK" w:cs="Times New Roman"/>
          <w:bCs/>
          <w:spacing w:val="20"/>
          <w:sz w:val="32"/>
          <w:szCs w:val="32"/>
          <w:highlight w:val="none"/>
        </w:rPr>
        <w:t>拍卖</w:t>
      </w:r>
      <w:r>
        <w:rPr>
          <w:rFonts w:ascii="Times New Roman" w:hAnsi="Times New Roman" w:eastAsia="方正仿宋_GBK" w:cs="Times New Roman"/>
          <w:bCs/>
          <w:spacing w:val="20"/>
          <w:sz w:val="32"/>
          <w:szCs w:val="32"/>
          <w:highlight w:val="none"/>
        </w:rPr>
        <w:t>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w:t>
      </w:r>
      <w:r>
        <w:rPr>
          <w:rFonts w:hint="eastAsia" w:ascii="Times New Roman" w:hAnsi="Times New Roman" w:eastAsia="方正仿宋_GBK" w:cs="Times New Roman"/>
          <w:bCs/>
          <w:spacing w:val="20"/>
          <w:sz w:val="32"/>
          <w:szCs w:val="32"/>
          <w:highlight w:val="none"/>
        </w:rPr>
        <w:t>拍卖</w:t>
      </w:r>
      <w:r>
        <w:rPr>
          <w:rFonts w:ascii="Times New Roman" w:hAnsi="Times New Roman" w:eastAsia="方正仿宋_GBK" w:cs="Times New Roman"/>
          <w:bCs/>
          <w:spacing w:val="20"/>
          <w:sz w:val="32"/>
          <w:szCs w:val="32"/>
          <w:highlight w:val="none"/>
        </w:rPr>
        <w:t>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cs="Times New Roman"/>
          <w:bCs/>
          <w:sz w:val="32"/>
          <w:szCs w:val="32"/>
          <w:highlight w:val="none"/>
        </w:rPr>
        <w:t>LKYD</w:t>
      </w:r>
      <w:r>
        <w:rPr>
          <w:rFonts w:hint="eastAsia" w:ascii="Times New Roman" w:hAnsi="Times New Roman" w:eastAsia="方正仿宋_GBK" w:cs="Times New Roman"/>
          <w:bCs/>
          <w:sz w:val="32"/>
          <w:szCs w:val="32"/>
          <w:highlight w:val="none"/>
          <w:lang w:val="en-US" w:eastAsia="zh-CN"/>
        </w:rPr>
        <w:t>-</w:t>
      </w:r>
      <w:r>
        <w:rPr>
          <w:rFonts w:hint="eastAsia" w:ascii="Times New Roman" w:hAnsi="Times New Roman" w:eastAsia="方正仿宋_GBK" w:cs="Times New Roman"/>
          <w:bCs/>
          <w:sz w:val="32"/>
          <w:szCs w:val="32"/>
          <w:highlight w:val="none"/>
        </w:rPr>
        <w:t>2022</w:t>
      </w:r>
      <w:r>
        <w:rPr>
          <w:rFonts w:hint="eastAsia" w:ascii="Times New Roman" w:hAnsi="Times New Roman" w:eastAsia="方正仿宋_GBK" w:cs="Times New Roman"/>
          <w:bCs/>
          <w:sz w:val="32"/>
          <w:szCs w:val="32"/>
          <w:highlight w:val="none"/>
          <w:lang w:val="en-US" w:eastAsia="zh-CN"/>
        </w:rPr>
        <w:t>-</w:t>
      </w:r>
      <w:r>
        <w:rPr>
          <w:rFonts w:hint="eastAsia" w:ascii="Times New Roman" w:hAnsi="Times New Roman" w:eastAsia="方正仿宋_GBK" w:cs="Times New Roman"/>
          <w:bCs/>
          <w:sz w:val="32"/>
          <w:szCs w:val="32"/>
          <w:highlight w:val="none"/>
        </w:rPr>
        <w:t>009</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6</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28"/>
          <w:sz w:val="32"/>
          <w:szCs w:val="32"/>
          <w:highlight w:val="none"/>
        </w:rPr>
        <w:t>《成交确认书》（样本）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7</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z w:val="32"/>
          <w:szCs w:val="32"/>
          <w:highlight w:val="none"/>
        </w:rPr>
        <w:t>8</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国有建设用地使用权出让合同（示范文本）部分条款</w:t>
      </w:r>
      <w:r>
        <w:rPr>
          <w:rFonts w:hint="eastAsia" w:ascii="Times New Roman" w:hAnsi="Times New Roman" w:eastAsia="方正仿宋_GBK" w:cs="Times New Roman"/>
          <w:bCs/>
          <w:spacing w:val="-16"/>
          <w:sz w:val="32"/>
          <w:szCs w:val="32"/>
          <w:highlight w:val="none"/>
        </w:rPr>
        <w:t>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pacing w:val="-16"/>
          <w:sz w:val="32"/>
          <w:szCs w:val="32"/>
          <w:highlight w:val="none"/>
        </w:rPr>
        <w:t>9</w:t>
      </w:r>
      <w:r>
        <w:rPr>
          <w:rFonts w:ascii="Times New Roman" w:hAnsi="Times New Roman" w:eastAsia="方正仿宋_GBK" w:cs="Times New Roman"/>
          <w:bCs/>
          <w:spacing w:val="-16"/>
          <w:sz w:val="32"/>
          <w:szCs w:val="32"/>
          <w:highlight w:val="none"/>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pacing w:val="-16"/>
          <w:sz w:val="32"/>
          <w:szCs w:val="32"/>
          <w:highlight w:val="none"/>
        </w:rPr>
        <w:t>10</w:t>
      </w:r>
      <w:r>
        <w:rPr>
          <w:rFonts w:ascii="Times New Roman" w:hAnsi="Times New Roman" w:eastAsia="方正仿宋_GBK" w:cs="Times New Roman"/>
          <w:bCs/>
          <w:spacing w:val="-16"/>
          <w:sz w:val="32"/>
          <w:szCs w:val="32"/>
          <w:highlight w:val="none"/>
        </w:rPr>
        <w:t>、建设项目动工申报书（样本）</w:t>
      </w:r>
    </w:p>
    <w:p>
      <w:pPr>
        <w:spacing w:line="600" w:lineRule="exact"/>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rPr>
        <w:t>1</w:t>
      </w:r>
      <w:r>
        <w:rPr>
          <w:rFonts w:ascii="Times New Roman" w:hAnsi="Times New Roman" w:eastAsia="方正仿宋_GBK" w:cs="Times New Roman"/>
          <w:bCs/>
          <w:spacing w:val="-16"/>
          <w:sz w:val="32"/>
          <w:szCs w:val="32"/>
          <w:highlight w:val="none"/>
        </w:rPr>
        <w:t>、建设项目竣工申报书（样本）</w:t>
      </w:r>
    </w:p>
    <w:p>
      <w:pPr>
        <w:spacing w:line="600" w:lineRule="exact"/>
        <w:jc w:val="center"/>
        <w:rPr>
          <w:rFonts w:ascii="方正小标宋_GBK" w:hAnsi="方正大标宋_GBK" w:eastAsia="方正小标宋_GBK" w:cs="方正大标宋_GBK"/>
          <w:color w:val="000000" w:themeColor="text1"/>
          <w:sz w:val="44"/>
          <w:szCs w:val="44"/>
          <w:highlight w:val="none"/>
        </w:rPr>
        <w:sectPr>
          <w:footerReference r:id="rId4" w:type="default"/>
          <w:pgSz w:w="11906" w:h="16838"/>
          <w:pgMar w:top="2098" w:right="1474" w:bottom="1985" w:left="1588" w:header="851" w:footer="1247" w:gutter="0"/>
          <w:pgNumType w:start="1"/>
          <w:cols w:space="720" w:num="1"/>
          <w:docGrid w:linePitch="312" w:charSpace="0"/>
        </w:sectPr>
      </w:pPr>
    </w:p>
    <w:p>
      <w:pPr>
        <w:spacing w:line="600" w:lineRule="exact"/>
        <w:jc w:val="center"/>
        <w:rPr>
          <w:rFonts w:ascii="方正小标宋_GBK" w:hAnsi="方正大标宋_GBK" w:eastAsia="方正小标宋_GBK" w:cs="方正大标宋_GBK"/>
          <w:color w:val="000000" w:themeColor="text1"/>
          <w:sz w:val="44"/>
          <w:szCs w:val="44"/>
          <w:highlight w:val="none"/>
        </w:rPr>
      </w:pPr>
      <w:r>
        <w:rPr>
          <w:rFonts w:hint="eastAsia" w:ascii="方正小标宋_GBK" w:hAnsi="方正大标宋_GBK" w:eastAsia="方正小标宋_GBK" w:cs="方正大标宋_GBK"/>
          <w:color w:val="000000" w:themeColor="text1"/>
          <w:sz w:val="44"/>
          <w:szCs w:val="44"/>
          <w:highlight w:val="none"/>
        </w:rPr>
        <w:t>资 阳 市</w:t>
      </w:r>
    </w:p>
    <w:p>
      <w:pPr>
        <w:spacing w:line="600" w:lineRule="exact"/>
        <w:jc w:val="center"/>
        <w:rPr>
          <w:rFonts w:ascii="方正小标宋_GBK" w:hAnsi="新宋体" w:eastAsia="方正小标宋_GBK"/>
          <w:color w:val="000000" w:themeColor="text1"/>
          <w:sz w:val="44"/>
          <w:szCs w:val="44"/>
          <w:highlight w:val="none"/>
        </w:rPr>
      </w:pPr>
      <w:r>
        <w:rPr>
          <w:rFonts w:hint="eastAsia" w:ascii="方正小标宋_GBK" w:hAnsi="方正大标宋_GBK" w:eastAsia="方正小标宋_GBK" w:cs="方正大标宋_GBK"/>
          <w:color w:val="000000" w:themeColor="text1"/>
          <w:sz w:val="44"/>
          <w:szCs w:val="44"/>
          <w:highlight w:val="none"/>
        </w:rPr>
        <w:t>国有建设用地使用权拍卖出让公告</w:t>
      </w:r>
    </w:p>
    <w:p>
      <w:pPr>
        <w:spacing w:line="600" w:lineRule="exact"/>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资公资土拍</w:t>
      </w:r>
      <w:r>
        <w:rPr>
          <w:rFonts w:hint="eastAsia" w:ascii="Times New Roman" w:hAnsi="Times New Roman" w:eastAsia="方正仿宋_GBK" w:cs="Times New Roman"/>
          <w:color w:val="000000" w:themeColor="text1"/>
          <w:sz w:val="32"/>
          <w:szCs w:val="32"/>
          <w:highlight w:val="none"/>
        </w:rPr>
        <w:t>告</w:t>
      </w:r>
      <w:r>
        <w:rPr>
          <w:rFonts w:ascii="Times New Roman" w:hAnsi="Times New Roman" w:eastAsia="方正仿宋_GBK" w:cs="Times New Roman"/>
          <w:color w:val="000000" w:themeColor="text1"/>
          <w:sz w:val="32"/>
          <w:szCs w:val="32"/>
          <w:highlight w:val="none"/>
        </w:rPr>
        <w:t>〔2022〕</w:t>
      </w:r>
      <w:r>
        <w:rPr>
          <w:rFonts w:hint="eastAsia" w:ascii="Times New Roman" w:hAnsi="Times New Roman" w:eastAsia="方正仿宋_GBK" w:cs="Times New Roman"/>
          <w:color w:val="000000" w:themeColor="text1"/>
          <w:sz w:val="32"/>
          <w:szCs w:val="32"/>
          <w:highlight w:val="none"/>
          <w:lang w:val="en-US" w:eastAsia="zh-CN"/>
        </w:rPr>
        <w:t>4</w:t>
      </w:r>
      <w:r>
        <w:rPr>
          <w:rFonts w:ascii="Times New Roman" w:hAnsi="Times New Roman" w:eastAsia="方正仿宋_GBK" w:cs="Times New Roman"/>
          <w:color w:val="000000" w:themeColor="text1"/>
          <w:sz w:val="32"/>
          <w:szCs w:val="32"/>
          <w:highlight w:val="none"/>
        </w:rPr>
        <w:t>号</w:t>
      </w:r>
    </w:p>
    <w:p>
      <w:pPr>
        <w:pStyle w:val="18"/>
        <w:ind w:firstLine="210"/>
        <w:rPr>
          <w:highlight w:val="none"/>
        </w:rPr>
      </w:pPr>
    </w:p>
    <w:p>
      <w:pPr>
        <w:tabs>
          <w:tab w:val="left" w:pos="3620"/>
        </w:tabs>
        <w:spacing w:line="540" w:lineRule="exact"/>
        <w:ind w:firstLine="640" w:firstLineChars="200"/>
        <w:rPr>
          <w:rFonts w:eastAsia="方正仿宋_GBK"/>
          <w:color w:val="000000" w:themeColor="text1"/>
          <w:sz w:val="32"/>
          <w:szCs w:val="32"/>
          <w:highlight w:val="none"/>
          <w:u w:val="single"/>
        </w:rPr>
      </w:pPr>
      <w:r>
        <w:rPr>
          <w:rFonts w:eastAsia="方正仿宋_GBK"/>
          <w:color w:val="000000" w:themeColor="text1"/>
          <w:kern w:val="0"/>
          <w:sz w:val="32"/>
          <w:szCs w:val="32"/>
          <w:highlight w:val="none"/>
        </w:rPr>
        <w:t>根据《</w:t>
      </w:r>
      <w:r>
        <w:rPr>
          <w:rFonts w:hint="eastAsia" w:eastAsia="方正仿宋_GBK"/>
          <w:color w:val="000000" w:themeColor="text1"/>
          <w:kern w:val="0"/>
          <w:sz w:val="32"/>
          <w:szCs w:val="32"/>
          <w:highlight w:val="none"/>
        </w:rPr>
        <w:t>中华人民共和国</w:t>
      </w:r>
      <w:r>
        <w:rPr>
          <w:rFonts w:eastAsia="方正仿宋_GBK"/>
          <w:color w:val="000000" w:themeColor="text1"/>
          <w:kern w:val="0"/>
          <w:sz w:val="32"/>
          <w:szCs w:val="32"/>
          <w:highlight w:val="none"/>
        </w:rPr>
        <w:t>土地管理法》《</w:t>
      </w:r>
      <w:r>
        <w:rPr>
          <w:rFonts w:hint="eastAsia" w:eastAsia="方正仿宋_GBK"/>
          <w:color w:val="000000" w:themeColor="text1"/>
          <w:kern w:val="0"/>
          <w:sz w:val="32"/>
          <w:szCs w:val="32"/>
          <w:highlight w:val="none"/>
        </w:rPr>
        <w:t>中华人民共和国</w:t>
      </w:r>
      <w:r>
        <w:rPr>
          <w:rFonts w:eastAsia="方正仿宋_GBK"/>
          <w:color w:val="000000" w:themeColor="text1"/>
          <w:kern w:val="0"/>
          <w:sz w:val="32"/>
          <w:szCs w:val="32"/>
          <w:highlight w:val="none"/>
        </w:rPr>
        <w:t>城市</w:t>
      </w:r>
      <w:r>
        <w:rPr>
          <w:rFonts w:ascii="Times New Roman" w:hAnsi="Times New Roman" w:eastAsia="方正仿宋_GBK" w:cs="Times New Roman"/>
          <w:color w:val="000000" w:themeColor="text1"/>
          <w:kern w:val="0"/>
          <w:sz w:val="32"/>
          <w:szCs w:val="32"/>
          <w:highlight w:val="none"/>
        </w:rPr>
        <w:t>房地产管理法》《招标拍卖挂牌出让国有建设用地使用权规定》（原国土资源部令第39号）</w:t>
      </w:r>
      <w:r>
        <w:rPr>
          <w:rFonts w:eastAsia="方正仿宋_GBK"/>
          <w:color w:val="000000" w:themeColor="text1"/>
          <w:kern w:val="0"/>
          <w:sz w:val="32"/>
          <w:szCs w:val="32"/>
          <w:highlight w:val="none"/>
        </w:rPr>
        <w:t>等相关规定，</w:t>
      </w:r>
      <w:r>
        <w:rPr>
          <w:rFonts w:eastAsia="方正仿宋_GBK"/>
          <w:color w:val="000000" w:themeColor="text1"/>
          <w:sz w:val="32"/>
          <w:szCs w:val="32"/>
          <w:highlight w:val="none"/>
        </w:rPr>
        <w:t>经</w:t>
      </w:r>
      <w:r>
        <w:rPr>
          <w:rFonts w:eastAsia="方正仿宋_GBK"/>
          <w:color w:val="000000" w:themeColor="text1"/>
          <w:sz w:val="32"/>
          <w:szCs w:val="32"/>
          <w:highlight w:val="none"/>
          <w:u w:val="single" w:color="000000"/>
        </w:rPr>
        <w:t>资阳市</w:t>
      </w:r>
      <w:r>
        <w:rPr>
          <w:rFonts w:eastAsia="方正仿宋_GBK"/>
          <w:color w:val="000000" w:themeColor="text1"/>
          <w:sz w:val="32"/>
          <w:szCs w:val="32"/>
          <w:highlight w:val="none"/>
        </w:rPr>
        <w:t>人民政府批准，</w:t>
      </w:r>
      <w:r>
        <w:rPr>
          <w:rFonts w:hint="eastAsia" w:eastAsia="方正仿宋_GBK"/>
          <w:color w:val="000000" w:themeColor="text1"/>
          <w:sz w:val="32"/>
          <w:szCs w:val="32"/>
          <w:highlight w:val="none"/>
        </w:rPr>
        <w:t>受</w:t>
      </w:r>
      <w:r>
        <w:rPr>
          <w:rFonts w:hint="eastAsia" w:eastAsia="方正仿宋_GBK"/>
          <w:color w:val="000000" w:themeColor="text1"/>
          <w:sz w:val="32"/>
          <w:szCs w:val="32"/>
          <w:highlight w:val="none"/>
          <w:u w:val="single"/>
        </w:rPr>
        <w:t>资阳市临空经济区管理委员会</w:t>
      </w:r>
      <w:r>
        <w:rPr>
          <w:rFonts w:hint="eastAsia" w:eastAsia="方正仿宋_GBK"/>
          <w:color w:val="000000" w:themeColor="text1"/>
          <w:sz w:val="32"/>
          <w:szCs w:val="32"/>
          <w:highlight w:val="none"/>
        </w:rPr>
        <w:t>委托，</w:t>
      </w:r>
      <w:r>
        <w:rPr>
          <w:rFonts w:hint="eastAsia" w:eastAsia="方正仿宋_GBK"/>
          <w:color w:val="000000" w:themeColor="text1"/>
          <w:sz w:val="32"/>
          <w:szCs w:val="32"/>
          <w:highlight w:val="none"/>
          <w:u w:val="single"/>
        </w:rPr>
        <w:t>资阳市政府政务服务和公共资源交易服务中心</w:t>
      </w:r>
      <w:r>
        <w:rPr>
          <w:rFonts w:eastAsia="方正仿宋_GBK"/>
          <w:color w:val="000000" w:themeColor="text1"/>
          <w:sz w:val="32"/>
          <w:szCs w:val="32"/>
          <w:highlight w:val="none"/>
        </w:rPr>
        <w:t>以</w:t>
      </w:r>
      <w:r>
        <w:rPr>
          <w:rFonts w:hint="eastAsia" w:eastAsia="方正仿宋_GBK"/>
          <w:color w:val="000000" w:themeColor="text1"/>
          <w:sz w:val="32"/>
          <w:szCs w:val="32"/>
          <w:highlight w:val="none"/>
          <w:u w:val="single"/>
        </w:rPr>
        <w:t>拍卖</w:t>
      </w:r>
      <w:r>
        <w:rPr>
          <w:rFonts w:eastAsia="方正仿宋_GBK"/>
          <w:color w:val="000000" w:themeColor="text1"/>
          <w:sz w:val="32"/>
          <w:szCs w:val="32"/>
          <w:highlight w:val="none"/>
        </w:rPr>
        <w:t>方式</w:t>
      </w:r>
      <w:r>
        <w:rPr>
          <w:rFonts w:hint="eastAsia" w:eastAsia="方正仿宋_GBK"/>
          <w:color w:val="000000" w:themeColor="text1"/>
          <w:sz w:val="32"/>
          <w:szCs w:val="32"/>
          <w:highlight w:val="none"/>
        </w:rPr>
        <w:t>公开</w:t>
      </w:r>
      <w:r>
        <w:rPr>
          <w:rFonts w:eastAsia="方正仿宋_GBK"/>
          <w:color w:val="000000" w:themeColor="text1"/>
          <w:sz w:val="32"/>
          <w:szCs w:val="32"/>
          <w:highlight w:val="none"/>
        </w:rPr>
        <w:t>出让</w:t>
      </w:r>
      <w:r>
        <w:rPr>
          <w:rFonts w:hint="eastAsia" w:ascii="宋体" w:hAnsi="宋体" w:eastAsia="方正仿宋_GBK"/>
          <w:sz w:val="32"/>
          <w:szCs w:val="32"/>
          <w:highlight w:val="none"/>
          <w:u w:val="single"/>
        </w:rPr>
        <w:t>雁溪湖综合服务组团</w:t>
      </w:r>
      <w:r>
        <w:rPr>
          <w:rFonts w:hint="eastAsia" w:ascii="宋体" w:hAnsi="宋体" w:eastAsia="方正仿宋_GBK"/>
          <w:sz w:val="32"/>
          <w:szCs w:val="32"/>
          <w:highlight w:val="none"/>
          <w:u w:val="none"/>
          <w:lang w:eastAsia="zh-CN"/>
        </w:rPr>
        <w:t>一</w:t>
      </w:r>
      <w:r>
        <w:rPr>
          <w:rFonts w:hint="eastAsia" w:ascii="Times New Roman" w:hAnsi="Times New Roman" w:eastAsia="方正仿宋_GBK"/>
          <w:color w:val="000000" w:themeColor="text1"/>
          <w:sz w:val="32"/>
          <w:szCs w:val="32"/>
          <w:highlight w:val="none"/>
        </w:rPr>
        <w:t>宗</w:t>
      </w:r>
      <w:r>
        <w:rPr>
          <w:rFonts w:eastAsia="方正仿宋_GBK"/>
          <w:color w:val="000000" w:themeColor="text1"/>
          <w:sz w:val="32"/>
          <w:szCs w:val="32"/>
          <w:highlight w:val="none"/>
        </w:rPr>
        <w:t>国有建设用地使用权。现将有关事项公告如下：</w:t>
      </w:r>
    </w:p>
    <w:p>
      <w:pPr>
        <w:widowControl/>
        <w:spacing w:line="540" w:lineRule="exact"/>
        <w:ind w:left="-80" w:leftChars="-38"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一、出让地块基本情况和规划设计指标要求（详见下表）：</w:t>
      </w:r>
    </w:p>
    <w:tbl>
      <w:tblPr>
        <w:tblStyle w:val="13"/>
        <w:tblW w:w="10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155"/>
        <w:gridCol w:w="1134"/>
        <w:gridCol w:w="1131"/>
        <w:gridCol w:w="1005"/>
        <w:gridCol w:w="960"/>
        <w:gridCol w:w="945"/>
        <w:gridCol w:w="1350"/>
        <w:gridCol w:w="1087"/>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22" w:type="dxa"/>
            <w:vMerge w:val="restart"/>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宗地编号</w:t>
            </w:r>
          </w:p>
        </w:tc>
        <w:tc>
          <w:tcPr>
            <w:tcW w:w="1155" w:type="dxa"/>
            <w:vMerge w:val="restart"/>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地块</w:t>
            </w:r>
          </w:p>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位置</w:t>
            </w:r>
          </w:p>
        </w:tc>
        <w:tc>
          <w:tcPr>
            <w:tcW w:w="5175" w:type="dxa"/>
            <w:gridSpan w:val="5"/>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规划设计主要指标</w:t>
            </w:r>
          </w:p>
        </w:tc>
        <w:tc>
          <w:tcPr>
            <w:tcW w:w="1350"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highlight w:val="none"/>
              </w:rPr>
            </w:pPr>
            <w:r>
              <w:rPr>
                <w:rFonts w:ascii="Times New Roman" w:hAnsi="Times New Roman" w:eastAsia="方正仿宋_GBK" w:cs="Times New Roman"/>
                <w:color w:val="000000" w:themeColor="text1"/>
                <w:spacing w:val="-20"/>
                <w:sz w:val="24"/>
                <w:highlight w:val="none"/>
              </w:rPr>
              <w:t>出让</w:t>
            </w:r>
          </w:p>
          <w:p>
            <w:pPr>
              <w:spacing w:line="300" w:lineRule="exact"/>
              <w:jc w:val="center"/>
              <w:rPr>
                <w:rFonts w:ascii="Times New Roman" w:hAnsi="Times New Roman" w:eastAsia="方正仿宋_GBK" w:cs="Times New Roman"/>
                <w:color w:val="000000" w:themeColor="text1"/>
                <w:spacing w:val="-20"/>
                <w:sz w:val="24"/>
                <w:highlight w:val="none"/>
              </w:rPr>
            </w:pPr>
            <w:r>
              <w:rPr>
                <w:rFonts w:ascii="Times New Roman" w:hAnsi="Times New Roman" w:eastAsia="方正仿宋_GBK" w:cs="Times New Roman"/>
                <w:color w:val="000000" w:themeColor="text1"/>
                <w:spacing w:val="-20"/>
                <w:sz w:val="24"/>
                <w:highlight w:val="none"/>
              </w:rPr>
              <w:t>年限</w:t>
            </w:r>
          </w:p>
        </w:tc>
        <w:tc>
          <w:tcPr>
            <w:tcW w:w="1087"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highlight w:val="none"/>
              </w:rPr>
            </w:pPr>
            <w:r>
              <w:rPr>
                <w:rFonts w:ascii="Times New Roman" w:hAnsi="Times New Roman" w:eastAsia="方正仿宋_GBK" w:cs="Times New Roman"/>
                <w:color w:val="000000" w:themeColor="text1"/>
                <w:spacing w:val="-20"/>
                <w:sz w:val="24"/>
                <w:highlight w:val="none"/>
              </w:rPr>
              <w:t>拍卖起叫价（万元）</w:t>
            </w:r>
          </w:p>
        </w:tc>
        <w:tc>
          <w:tcPr>
            <w:tcW w:w="983"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highlight w:val="none"/>
              </w:rPr>
            </w:pPr>
            <w:r>
              <w:rPr>
                <w:rFonts w:ascii="Times New Roman" w:hAnsi="Times New Roman" w:eastAsia="方正仿宋_GBK" w:cs="Times New Roman"/>
                <w:color w:val="000000" w:themeColor="text1"/>
                <w:spacing w:val="-20"/>
                <w:sz w:val="24"/>
                <w:highlight w:val="none"/>
              </w:rPr>
              <w:t>竞买保证金</w:t>
            </w:r>
          </w:p>
          <w:p>
            <w:pPr>
              <w:spacing w:line="300" w:lineRule="exact"/>
              <w:jc w:val="center"/>
              <w:rPr>
                <w:rFonts w:ascii="Times New Roman" w:hAnsi="Times New Roman" w:eastAsia="方正仿宋_GBK" w:cs="Times New Roman"/>
                <w:color w:val="000000" w:themeColor="text1"/>
                <w:spacing w:val="-20"/>
                <w:sz w:val="24"/>
                <w:highlight w:val="none"/>
              </w:rPr>
            </w:pPr>
            <w:r>
              <w:rPr>
                <w:rFonts w:ascii="Times New Roman" w:hAnsi="Times New Roman" w:eastAsia="方正仿宋_GBK" w:cs="Times New Roman"/>
                <w:color w:val="000000" w:themeColor="text1"/>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922"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rPr>
            </w:pPr>
          </w:p>
        </w:tc>
        <w:tc>
          <w:tcPr>
            <w:tcW w:w="1155"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rPr>
            </w:pPr>
          </w:p>
        </w:tc>
        <w:tc>
          <w:tcPr>
            <w:tcW w:w="1134" w:type="dxa"/>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宗地面积（㎡）</w:t>
            </w:r>
          </w:p>
        </w:tc>
        <w:tc>
          <w:tcPr>
            <w:tcW w:w="1131" w:type="dxa"/>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土地用途</w:t>
            </w:r>
          </w:p>
        </w:tc>
        <w:tc>
          <w:tcPr>
            <w:tcW w:w="1005" w:type="dxa"/>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容积率</w:t>
            </w:r>
          </w:p>
        </w:tc>
        <w:tc>
          <w:tcPr>
            <w:tcW w:w="960" w:type="dxa"/>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建筑密度（%）</w:t>
            </w:r>
          </w:p>
        </w:tc>
        <w:tc>
          <w:tcPr>
            <w:tcW w:w="945" w:type="dxa"/>
            <w:noWrap/>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绿地率（%）</w:t>
            </w:r>
          </w:p>
        </w:tc>
        <w:tc>
          <w:tcPr>
            <w:tcW w:w="1350"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rPr>
            </w:pPr>
          </w:p>
        </w:tc>
        <w:tc>
          <w:tcPr>
            <w:tcW w:w="1087"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rPr>
            </w:pPr>
          </w:p>
        </w:tc>
        <w:tc>
          <w:tcPr>
            <w:tcW w:w="983"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922"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Cs w:val="21"/>
                <w:highlight w:val="none"/>
              </w:rPr>
              <w:t>LKYD—2022—009</w:t>
            </w:r>
          </w:p>
        </w:tc>
        <w:tc>
          <w:tcPr>
            <w:tcW w:w="1155"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lang w:eastAsia="zh-CN"/>
              </w:rPr>
            </w:pPr>
            <w:r>
              <w:rPr>
                <w:rFonts w:hint="eastAsia" w:ascii="Times New Roman" w:hAnsi="Times New Roman" w:eastAsia="方正仿宋_GBK" w:cs="Times New Roman"/>
                <w:color w:val="000000" w:themeColor="text1"/>
                <w:szCs w:val="21"/>
                <w:highlight w:val="none"/>
                <w:lang w:eastAsia="zh-CN"/>
              </w:rPr>
              <w:t>雁溪湖综合服务组团</w:t>
            </w:r>
          </w:p>
        </w:tc>
        <w:tc>
          <w:tcPr>
            <w:tcW w:w="1134"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Cs w:val="21"/>
                <w:highlight w:val="none"/>
                <w:lang w:val="en-US" w:eastAsia="zh-CN"/>
              </w:rPr>
              <w:t>85229.51</w:t>
            </w:r>
          </w:p>
        </w:tc>
        <w:tc>
          <w:tcPr>
            <w:tcW w:w="1131" w:type="dxa"/>
            <w:noWrap/>
            <w:vAlign w:val="center"/>
          </w:tcPr>
          <w:p>
            <w:pPr>
              <w:spacing w:line="300" w:lineRule="exact"/>
              <w:jc w:val="center"/>
              <w:rPr>
                <w:rFonts w:ascii="Times New Roman" w:hAnsi="Times New Roman" w:eastAsia="方正仿宋_GBK" w:cs="Times New Roman"/>
                <w:color w:val="000000" w:themeColor="text1"/>
                <w:szCs w:val="21"/>
                <w:highlight w:val="none"/>
              </w:rPr>
            </w:pPr>
            <w:r>
              <w:rPr>
                <w:rFonts w:hint="eastAsia" w:ascii="Times New Roman" w:hAnsi="Times New Roman" w:eastAsia="方正仿宋_GBK" w:cs="Times New Roman"/>
                <w:color w:val="000000" w:themeColor="text1"/>
                <w:szCs w:val="21"/>
                <w:highlight w:val="none"/>
              </w:rPr>
              <w:t>城镇住宅用地</w:t>
            </w:r>
          </w:p>
        </w:tc>
        <w:tc>
          <w:tcPr>
            <w:tcW w:w="1005"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Cs w:val="21"/>
                <w:highlight w:val="none"/>
              </w:rPr>
              <w:t>≤1.5且≥1.0</w:t>
            </w:r>
          </w:p>
        </w:tc>
        <w:tc>
          <w:tcPr>
            <w:tcW w:w="960"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Cs w:val="21"/>
                <w:highlight w:val="none"/>
              </w:rPr>
              <w:t>≤30%</w:t>
            </w:r>
          </w:p>
        </w:tc>
        <w:tc>
          <w:tcPr>
            <w:tcW w:w="945"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Cs w:val="21"/>
                <w:highlight w:val="none"/>
              </w:rPr>
              <w:t>≥35%</w:t>
            </w:r>
          </w:p>
        </w:tc>
        <w:tc>
          <w:tcPr>
            <w:tcW w:w="1350" w:type="dxa"/>
            <w:noWrap/>
            <w:vAlign w:val="center"/>
          </w:tcPr>
          <w:p>
            <w:pPr>
              <w:spacing w:line="300" w:lineRule="exact"/>
              <w:jc w:val="center"/>
              <w:rPr>
                <w:rFonts w:ascii="Times New Roman" w:hAnsi="Times New Roman" w:eastAsia="方正仿宋_GBK" w:cs="Times New Roman"/>
                <w:color w:val="000000" w:themeColor="text1"/>
                <w:szCs w:val="21"/>
                <w:highlight w:val="none"/>
              </w:rPr>
            </w:pPr>
            <w:r>
              <w:rPr>
                <w:rFonts w:hint="eastAsia" w:ascii="Times New Roman" w:hAnsi="Times New Roman" w:eastAsia="方正仿宋_GBK" w:cs="Times New Roman"/>
                <w:color w:val="000000" w:themeColor="text1"/>
                <w:szCs w:val="21"/>
                <w:highlight w:val="none"/>
              </w:rPr>
              <w:t>城镇住宅用地70年</w:t>
            </w:r>
          </w:p>
        </w:tc>
        <w:tc>
          <w:tcPr>
            <w:tcW w:w="1087"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Cs w:val="21"/>
                <w:highlight w:val="none"/>
                <w:lang w:val="en-US" w:eastAsia="zh-CN"/>
              </w:rPr>
              <w:t>19820</w:t>
            </w:r>
          </w:p>
        </w:tc>
        <w:tc>
          <w:tcPr>
            <w:tcW w:w="983"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Cs w:val="21"/>
                <w:highlight w:val="none"/>
                <w:lang w:val="en-US" w:eastAsia="zh-CN"/>
              </w:rPr>
              <w:t>3964</w:t>
            </w:r>
          </w:p>
        </w:tc>
      </w:tr>
    </w:tbl>
    <w:p>
      <w:pPr>
        <w:spacing w:line="530" w:lineRule="exact"/>
        <w:ind w:firstLine="642" w:firstLineChars="200"/>
        <w:rPr>
          <w:rFonts w:ascii="Times New Roman" w:hAnsi="Times New Roman" w:eastAsia="方正仿宋_GBK" w:cs="Times New Roman"/>
          <w:bCs/>
          <w:color w:val="000000" w:themeColor="text1"/>
          <w:sz w:val="32"/>
          <w:szCs w:val="32"/>
          <w:highlight w:val="none"/>
        </w:rPr>
      </w:pPr>
      <w:r>
        <w:rPr>
          <w:rFonts w:ascii="Times New Roman" w:hAnsi="Times New Roman" w:eastAsia="方正仿宋_GBK" w:cs="Times New Roman"/>
          <w:b/>
          <w:color w:val="000000" w:themeColor="text1"/>
          <w:sz w:val="32"/>
          <w:szCs w:val="32"/>
          <w:highlight w:val="none"/>
        </w:rPr>
        <w:t>二、</w:t>
      </w:r>
      <w:r>
        <w:rPr>
          <w:rFonts w:ascii="Times New Roman" w:hAnsi="Times New Roman" w:eastAsia="方正仿宋_GBK" w:cs="Times New Roman"/>
          <w:color w:val="000000" w:themeColor="text1"/>
          <w:sz w:val="32"/>
          <w:szCs w:val="32"/>
          <w:highlight w:val="none"/>
        </w:rPr>
        <w:t>中华人民共和国境内外的法人、自然人和其他组织均可申请参加，申请人可以单独申请，也可以联合申请。</w:t>
      </w:r>
      <w:r>
        <w:rPr>
          <w:rFonts w:hint="eastAsia" w:ascii="Times New Roman" w:hAnsi="Times New Roman" w:eastAsia="方正仿宋_GBK" w:cs="Times New Roman"/>
          <w:color w:val="000000" w:themeColor="text1"/>
          <w:sz w:val="32"/>
          <w:szCs w:val="32"/>
          <w:highlight w:val="none"/>
        </w:rPr>
        <w:t>但出让文件中有特殊要求或法律法规对申请人另有限制的除外。</w:t>
      </w:r>
    </w:p>
    <w:p>
      <w:pPr>
        <w:spacing w:line="530" w:lineRule="exact"/>
        <w:ind w:firstLine="642" w:firstLineChars="200"/>
        <w:rPr>
          <w:rFonts w:eastAsia="方正仿宋_GBK"/>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三</w:t>
      </w:r>
      <w:r>
        <w:rPr>
          <w:rFonts w:ascii="Times New Roman" w:hAnsi="Times New Roman" w:eastAsia="方正仿宋_GBK" w:cs="Times New Roman"/>
          <w:color w:val="000000" w:themeColor="text1"/>
          <w:sz w:val="32"/>
          <w:szCs w:val="32"/>
          <w:highlight w:val="none"/>
        </w:rPr>
        <w:t>、本次地表国有建设用地使用权采用</w:t>
      </w:r>
      <w:r>
        <w:rPr>
          <w:rFonts w:ascii="Times New Roman" w:hAnsi="Times New Roman" w:eastAsia="方正仿宋_GBK" w:cs="Times New Roman"/>
          <w:color w:val="000000" w:themeColor="text1"/>
          <w:sz w:val="32"/>
          <w:szCs w:val="32"/>
          <w:highlight w:val="none"/>
          <w:u w:val="single"/>
        </w:rPr>
        <w:t>有底价拍卖</w:t>
      </w:r>
      <w:r>
        <w:rPr>
          <w:rFonts w:ascii="Times New Roman" w:hAnsi="Times New Roman" w:eastAsia="方正仿宋_GBK" w:cs="Times New Roman"/>
          <w:color w:val="000000" w:themeColor="text1"/>
          <w:sz w:val="32"/>
          <w:szCs w:val="32"/>
          <w:highlight w:val="none"/>
        </w:rPr>
        <w:t>出让，按照不低于底价的价高者得的</w:t>
      </w:r>
      <w:r>
        <w:rPr>
          <w:rFonts w:hint="eastAsia" w:eastAsia="方正仿宋_GBK"/>
          <w:color w:val="000000" w:themeColor="text1"/>
          <w:sz w:val="32"/>
          <w:szCs w:val="32"/>
          <w:highlight w:val="none"/>
        </w:rPr>
        <w:t>原则确定竞得人。</w:t>
      </w:r>
    </w:p>
    <w:p>
      <w:pPr>
        <w:spacing w:line="530" w:lineRule="exact"/>
        <w:ind w:firstLine="642"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b/>
          <w:bCs/>
          <w:sz w:val="32"/>
          <w:szCs w:val="32"/>
          <w:highlight w:val="none"/>
        </w:rPr>
        <w:t>四</w:t>
      </w:r>
      <w:r>
        <w:rPr>
          <w:rFonts w:ascii="Times New Roman" w:hAnsi="Times New Roman" w:eastAsia="方正仿宋_GBK" w:cs="Times New Roman"/>
          <w:sz w:val="32"/>
          <w:szCs w:val="32"/>
          <w:highlight w:val="none"/>
        </w:rPr>
        <w:t>、申请人需在全国公共资源交易平台（四川省·资阳市）（http://ggzyjyzx.ziyang.gov.cn）或资阳市自然资源和规划局网站（http://szrzyj.ziyang.gov.cn/）下载</w:t>
      </w:r>
      <w:r>
        <w:rPr>
          <w:rFonts w:hint="eastAsia" w:ascii="Times New Roman" w:hAnsi="Times New Roman" w:eastAsia="方正仿宋_GBK"/>
          <w:sz w:val="32"/>
          <w:szCs w:val="32"/>
          <w:highlight w:val="none"/>
        </w:rPr>
        <w:t>拍卖</w:t>
      </w:r>
      <w:r>
        <w:rPr>
          <w:rFonts w:ascii="Times New Roman" w:hAnsi="Times New Roman" w:eastAsia="方正仿宋_GBK" w:cs="Times New Roman"/>
          <w:sz w:val="32"/>
          <w:szCs w:val="32"/>
          <w:highlight w:val="none"/>
        </w:rPr>
        <w:t>出让文件资料。</w:t>
      </w:r>
    </w:p>
    <w:p>
      <w:pPr>
        <w:spacing w:line="53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五、交纳竞买保证金的截止时间为</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8</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8</w:t>
      </w:r>
      <w:r>
        <w:rPr>
          <w:rFonts w:ascii="Times New Roman" w:hAnsi="Times New Roman" w:eastAsia="方正仿宋_GBK" w:cs="Times New Roman"/>
          <w:sz w:val="32"/>
          <w:szCs w:val="32"/>
          <w:highlight w:val="none"/>
          <w:u w:val="single"/>
        </w:rPr>
        <w:t xml:space="preserve"> 日16 时</w:t>
      </w:r>
      <w:r>
        <w:rPr>
          <w:rFonts w:ascii="Times New Roman" w:hAnsi="Times New Roman" w:eastAsia="方正仿宋_GBK" w:cs="Times New Roman"/>
          <w:sz w:val="32"/>
          <w:szCs w:val="32"/>
          <w:highlight w:val="none"/>
        </w:rPr>
        <w:t>止（以竞买保证金到账时间为准），具体的银行账户详见</w:t>
      </w:r>
      <w:r>
        <w:rPr>
          <w:rFonts w:hint="eastAsia" w:ascii="Times New Roman" w:hAnsi="Times New Roman" w:eastAsia="方正仿宋_GBK" w:cs="Times New Roman"/>
          <w:sz w:val="32"/>
          <w:szCs w:val="32"/>
          <w:highlight w:val="none"/>
        </w:rPr>
        <w:t>拍卖</w:t>
      </w:r>
      <w:r>
        <w:rPr>
          <w:rFonts w:ascii="Times New Roman" w:hAnsi="Times New Roman" w:eastAsia="方正仿宋_GBK" w:cs="Times New Roman"/>
          <w:sz w:val="32"/>
          <w:szCs w:val="32"/>
          <w:highlight w:val="none"/>
        </w:rPr>
        <w:t>出让文件。</w:t>
      </w:r>
    </w:p>
    <w:p>
      <w:pPr>
        <w:widowControl/>
        <w:spacing w:line="530" w:lineRule="exact"/>
        <w:ind w:firstLine="640" w:firstLineChars="200"/>
        <w:rPr>
          <w:rFonts w:ascii="Times New Roman" w:hAnsi="Times New Roman" w:eastAsia="方正仿宋_GBK" w:cs="Times New Roman"/>
          <w:kern w:val="0"/>
          <w:sz w:val="32"/>
          <w:szCs w:val="32"/>
          <w:highlight w:val="none"/>
        </w:rPr>
      </w:pPr>
      <w:r>
        <w:rPr>
          <w:rFonts w:hint="eastAsia" w:ascii="方正仿宋_GBK" w:hAnsi="Times New Roman" w:eastAsia="方正仿宋_GBK" w:cs="Times New Roman"/>
          <w:bCs/>
          <w:sz w:val="32"/>
          <w:szCs w:val="32"/>
          <w:highlight w:val="none"/>
        </w:rPr>
        <w:t>六、报名方式及时间：</w:t>
      </w:r>
      <w:r>
        <w:rPr>
          <w:rFonts w:ascii="Times New Roman" w:hAnsi="Times New Roman" w:eastAsia="方正仿宋_GBK" w:cs="Times New Roman"/>
          <w:bCs/>
          <w:kern w:val="0"/>
          <w:sz w:val="32"/>
          <w:szCs w:val="32"/>
          <w:highlight w:val="none"/>
        </w:rPr>
        <w:t>本次报名采取现场报名方式（法定假日不办理报名事宜）；竞买申请人请于</w:t>
      </w:r>
      <w:r>
        <w:rPr>
          <w:rFonts w:ascii="Times New Roman" w:hAnsi="Times New Roman" w:eastAsia="方正仿宋_GBK" w:cs="Times New Roman"/>
          <w:bCs/>
          <w:kern w:val="0"/>
          <w:sz w:val="32"/>
          <w:szCs w:val="32"/>
          <w:highlight w:val="none"/>
          <w:u w:val="single"/>
        </w:rPr>
        <w:t>2022年</w:t>
      </w:r>
      <w:r>
        <w:rPr>
          <w:rFonts w:hint="eastAsia" w:ascii="Times New Roman" w:hAnsi="Times New Roman" w:eastAsia="方正仿宋_GBK" w:cs="Times New Roman"/>
          <w:bCs/>
          <w:kern w:val="0"/>
          <w:sz w:val="32"/>
          <w:szCs w:val="32"/>
          <w:highlight w:val="none"/>
          <w:u w:val="single"/>
          <w:lang w:val="en-US" w:eastAsia="zh-CN"/>
        </w:rPr>
        <w:t>7</w:t>
      </w:r>
      <w:r>
        <w:rPr>
          <w:rFonts w:ascii="Times New Roman" w:hAnsi="Times New Roman" w:eastAsia="方正仿宋_GBK" w:cs="Times New Roman"/>
          <w:bCs/>
          <w:kern w:val="0"/>
          <w:sz w:val="32"/>
          <w:szCs w:val="32"/>
          <w:highlight w:val="none"/>
          <w:u w:val="single"/>
        </w:rPr>
        <w:t>月</w:t>
      </w:r>
      <w:r>
        <w:rPr>
          <w:rFonts w:hint="eastAsia" w:ascii="Times New Roman" w:hAnsi="Times New Roman" w:eastAsia="方正仿宋_GBK" w:cs="Times New Roman"/>
          <w:bCs/>
          <w:kern w:val="0"/>
          <w:sz w:val="32"/>
          <w:szCs w:val="32"/>
          <w:highlight w:val="none"/>
          <w:u w:val="single"/>
          <w:lang w:val="en-US" w:eastAsia="zh-CN"/>
        </w:rPr>
        <w:t>18</w:t>
      </w:r>
      <w:r>
        <w:rPr>
          <w:rFonts w:ascii="Times New Roman" w:hAnsi="Times New Roman" w:eastAsia="方正仿宋_GBK" w:cs="Times New Roman"/>
          <w:bCs/>
          <w:kern w:val="0"/>
          <w:sz w:val="32"/>
          <w:szCs w:val="32"/>
          <w:highlight w:val="none"/>
          <w:u w:val="single"/>
        </w:rPr>
        <w:t>日</w:t>
      </w:r>
      <w:r>
        <w:rPr>
          <w:rFonts w:ascii="Times New Roman" w:hAnsi="Times New Roman" w:eastAsia="方正仿宋_GBK" w:cs="Times New Roman"/>
          <w:bCs/>
          <w:kern w:val="0"/>
          <w:sz w:val="32"/>
          <w:szCs w:val="32"/>
          <w:highlight w:val="none"/>
        </w:rPr>
        <w:t>至</w:t>
      </w:r>
      <w:r>
        <w:rPr>
          <w:rFonts w:ascii="Times New Roman" w:hAnsi="Times New Roman" w:eastAsia="方正仿宋_GBK" w:cs="Times New Roman"/>
          <w:bCs/>
          <w:kern w:val="0"/>
          <w:sz w:val="32"/>
          <w:szCs w:val="32"/>
          <w:highlight w:val="none"/>
          <w:u w:val="single"/>
        </w:rPr>
        <w:t>2022年</w:t>
      </w:r>
      <w:r>
        <w:rPr>
          <w:rFonts w:hint="eastAsia" w:ascii="Times New Roman" w:hAnsi="Times New Roman" w:eastAsia="方正仿宋_GBK" w:cs="Times New Roman"/>
          <w:bCs/>
          <w:kern w:val="0"/>
          <w:sz w:val="32"/>
          <w:szCs w:val="32"/>
          <w:highlight w:val="none"/>
          <w:u w:val="single"/>
          <w:lang w:val="en-US" w:eastAsia="zh-CN"/>
        </w:rPr>
        <w:t>8</w:t>
      </w:r>
      <w:r>
        <w:rPr>
          <w:rFonts w:ascii="Times New Roman" w:hAnsi="Times New Roman" w:eastAsia="方正仿宋_GBK" w:cs="Times New Roman"/>
          <w:bCs/>
          <w:kern w:val="0"/>
          <w:sz w:val="32"/>
          <w:szCs w:val="32"/>
          <w:highlight w:val="none"/>
          <w:u w:val="single"/>
        </w:rPr>
        <w:t>月</w:t>
      </w:r>
      <w:r>
        <w:rPr>
          <w:rFonts w:hint="eastAsia" w:ascii="Times New Roman" w:hAnsi="Times New Roman" w:eastAsia="方正仿宋_GBK" w:cs="Times New Roman"/>
          <w:bCs/>
          <w:kern w:val="0"/>
          <w:sz w:val="32"/>
          <w:szCs w:val="32"/>
          <w:highlight w:val="none"/>
          <w:u w:val="single"/>
          <w:lang w:val="en-US" w:eastAsia="zh-CN"/>
        </w:rPr>
        <w:t>8</w:t>
      </w:r>
      <w:r>
        <w:rPr>
          <w:rFonts w:ascii="Times New Roman" w:hAnsi="Times New Roman" w:eastAsia="方正仿宋_GBK" w:cs="Times New Roman"/>
          <w:bCs/>
          <w:kern w:val="0"/>
          <w:sz w:val="32"/>
          <w:szCs w:val="32"/>
          <w:highlight w:val="none"/>
          <w:u w:val="single"/>
        </w:rPr>
        <w:t>日16：30 时</w:t>
      </w:r>
      <w:r>
        <w:rPr>
          <w:rFonts w:ascii="Times New Roman" w:hAnsi="Times New Roman" w:eastAsia="方正仿宋_GBK" w:cs="Times New Roman"/>
          <w:bCs/>
          <w:kern w:val="0"/>
          <w:sz w:val="32"/>
          <w:szCs w:val="32"/>
          <w:highlight w:val="none"/>
        </w:rPr>
        <w:t>止凭竞买保证金交纳回执单及</w:t>
      </w:r>
      <w:r>
        <w:rPr>
          <w:rFonts w:hint="eastAsia" w:ascii="Times New Roman" w:hAnsi="Times New Roman" w:eastAsia="方正仿宋_GBK" w:cs="Times New Roman"/>
          <w:bCs/>
          <w:kern w:val="0"/>
          <w:sz w:val="32"/>
          <w:szCs w:val="32"/>
          <w:highlight w:val="none"/>
        </w:rPr>
        <w:t>拍卖</w:t>
      </w:r>
      <w:r>
        <w:rPr>
          <w:rFonts w:ascii="Times New Roman" w:hAnsi="Times New Roman" w:eastAsia="方正仿宋_GBK" w:cs="Times New Roman"/>
          <w:bCs/>
          <w:kern w:val="0"/>
          <w:sz w:val="32"/>
          <w:szCs w:val="32"/>
          <w:highlight w:val="none"/>
        </w:rPr>
        <w:t>出让文件规定的相关资料</w:t>
      </w:r>
      <w:r>
        <w:rPr>
          <w:rFonts w:ascii="Times New Roman" w:hAnsi="Times New Roman" w:eastAsia="方正仿宋_GBK" w:cs="Times New Roman"/>
          <w:kern w:val="0"/>
          <w:sz w:val="32"/>
          <w:szCs w:val="32"/>
          <w:highlight w:val="none"/>
        </w:rPr>
        <w:t>到</w:t>
      </w:r>
      <w:r>
        <w:rPr>
          <w:rFonts w:ascii="Times New Roman" w:hAnsi="Times New Roman" w:eastAsia="方正仿宋_GBK" w:cs="Times New Roman"/>
          <w:bCs/>
          <w:kern w:val="0"/>
          <w:sz w:val="32"/>
          <w:szCs w:val="32"/>
          <w:highlight w:val="none"/>
        </w:rPr>
        <w:t>资阳市政府政务服务和公共资源交易服务中心办理报名手续。</w:t>
      </w:r>
    </w:p>
    <w:p>
      <w:pPr>
        <w:widowControl/>
        <w:spacing w:line="530" w:lineRule="exact"/>
        <w:ind w:firstLine="640" w:firstLineChars="200"/>
        <w:rPr>
          <w:rFonts w:ascii="Times New Roman" w:hAnsi="Times New Roman" w:eastAsia="方正仿宋_GBK" w:cs="Times New Roman"/>
          <w:kern w:val="0"/>
          <w:sz w:val="32"/>
          <w:szCs w:val="32"/>
          <w:highlight w:val="none"/>
        </w:rPr>
      </w:pPr>
      <w:r>
        <w:rPr>
          <w:rFonts w:hint="eastAsia" w:ascii="方正仿宋_GBK" w:hAnsi="Times New Roman" w:eastAsia="方正仿宋_GBK" w:cs="Times New Roman"/>
          <w:bCs/>
          <w:sz w:val="32"/>
          <w:szCs w:val="32"/>
          <w:highlight w:val="none"/>
        </w:rPr>
        <w:t>七、资格审查：</w:t>
      </w:r>
      <w:r>
        <w:rPr>
          <w:rFonts w:ascii="Times New Roman" w:hAnsi="Times New Roman" w:eastAsia="方正仿宋_GBK" w:cs="Times New Roman"/>
          <w:bCs/>
          <w:kern w:val="0"/>
          <w:sz w:val="32"/>
          <w:szCs w:val="32"/>
          <w:highlight w:val="none"/>
        </w:rPr>
        <w:t>竞买申请人</w:t>
      </w:r>
      <w:r>
        <w:rPr>
          <w:rFonts w:ascii="Times New Roman" w:hAnsi="Times New Roman" w:eastAsia="方正仿宋_GBK" w:cs="Times New Roman"/>
          <w:kern w:val="0"/>
          <w:sz w:val="32"/>
          <w:szCs w:val="32"/>
          <w:highlight w:val="none"/>
        </w:rPr>
        <w:t>按规定</w:t>
      </w:r>
      <w:r>
        <w:rPr>
          <w:rFonts w:ascii="Times New Roman" w:hAnsi="Times New Roman" w:eastAsia="方正仿宋_GBK" w:cs="Times New Roman"/>
          <w:bCs/>
          <w:kern w:val="0"/>
          <w:sz w:val="32"/>
          <w:szCs w:val="32"/>
          <w:highlight w:val="none"/>
        </w:rPr>
        <w:t>交纳保证金并提交申请资料后，资阳市政府政务服务和公共资源交易服务中心</w:t>
      </w:r>
      <w:r>
        <w:rPr>
          <w:rFonts w:ascii="Times New Roman" w:hAnsi="Times New Roman" w:eastAsia="方正仿宋_GBK" w:cs="Times New Roman"/>
          <w:kern w:val="0"/>
          <w:sz w:val="32"/>
          <w:szCs w:val="32"/>
          <w:highlight w:val="none"/>
        </w:rPr>
        <w:t>将在</w:t>
      </w:r>
      <w:r>
        <w:rPr>
          <w:rFonts w:ascii="Times New Roman" w:hAnsi="Times New Roman" w:eastAsia="方正仿宋_GBK" w:cs="Times New Roman"/>
          <w:kern w:val="0"/>
          <w:sz w:val="32"/>
          <w:szCs w:val="32"/>
          <w:highlight w:val="none"/>
          <w:u w:val="single"/>
        </w:rPr>
        <w:t>2022年</w:t>
      </w:r>
      <w:r>
        <w:rPr>
          <w:rFonts w:hint="eastAsia" w:ascii="Times New Roman" w:hAnsi="Times New Roman" w:eastAsia="方正仿宋_GBK" w:cs="Times New Roman"/>
          <w:kern w:val="0"/>
          <w:sz w:val="32"/>
          <w:szCs w:val="32"/>
          <w:highlight w:val="none"/>
          <w:u w:val="single"/>
          <w:lang w:val="en-US" w:eastAsia="zh-CN"/>
        </w:rPr>
        <w:t>8</w:t>
      </w:r>
      <w:r>
        <w:rPr>
          <w:rFonts w:ascii="Times New Roman" w:hAnsi="Times New Roman" w:eastAsia="方正仿宋_GBK" w:cs="Times New Roman"/>
          <w:kern w:val="0"/>
          <w:sz w:val="32"/>
          <w:szCs w:val="32"/>
          <w:highlight w:val="none"/>
          <w:u w:val="single"/>
        </w:rPr>
        <w:t>月</w:t>
      </w:r>
      <w:r>
        <w:rPr>
          <w:rFonts w:hint="eastAsia" w:ascii="Times New Roman" w:hAnsi="Times New Roman" w:eastAsia="方正仿宋_GBK" w:cs="Times New Roman"/>
          <w:kern w:val="0"/>
          <w:sz w:val="32"/>
          <w:szCs w:val="32"/>
          <w:highlight w:val="none"/>
          <w:u w:val="single"/>
          <w:lang w:val="en-US" w:eastAsia="zh-CN"/>
        </w:rPr>
        <w:t>8</w:t>
      </w:r>
      <w:r>
        <w:rPr>
          <w:rFonts w:ascii="Times New Roman" w:hAnsi="Times New Roman" w:eastAsia="方正仿宋_GBK" w:cs="Times New Roman"/>
          <w:kern w:val="0"/>
          <w:sz w:val="32"/>
          <w:szCs w:val="32"/>
          <w:highlight w:val="none"/>
          <w:u w:val="single"/>
        </w:rPr>
        <w:t>日17 时00分</w:t>
      </w:r>
      <w:r>
        <w:rPr>
          <w:rFonts w:ascii="Times New Roman" w:hAnsi="Times New Roman" w:eastAsia="方正仿宋_GBK" w:cs="Times New Roman"/>
          <w:kern w:val="0"/>
          <w:sz w:val="32"/>
          <w:szCs w:val="32"/>
          <w:highlight w:val="none"/>
        </w:rPr>
        <w:t>前确认其竞买资格。</w:t>
      </w:r>
    </w:p>
    <w:p>
      <w:pPr>
        <w:spacing w:line="53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_GBK" w:cs="Times New Roman"/>
          <w:sz w:val="32"/>
          <w:szCs w:val="32"/>
          <w:highlight w:val="none"/>
        </w:rPr>
        <w:t>八、</w:t>
      </w:r>
      <w:r>
        <w:rPr>
          <w:rFonts w:hint="eastAsia" w:ascii="Times New Roman" w:hAnsi="Times New Roman" w:eastAsia="方正仿宋_GBK"/>
          <w:bCs/>
          <w:kern w:val="0"/>
          <w:sz w:val="32"/>
          <w:szCs w:val="32"/>
          <w:highlight w:val="none"/>
        </w:rPr>
        <w:t>本次地表国有建设用地使用权拍卖会定于</w:t>
      </w:r>
      <w:r>
        <w:rPr>
          <w:rFonts w:hint="eastAsia" w:ascii="Times New Roman" w:hAnsi="Times New Roman" w:eastAsia="方正仿宋_GBK"/>
          <w:bCs/>
          <w:kern w:val="0"/>
          <w:sz w:val="32"/>
          <w:szCs w:val="32"/>
          <w:highlight w:val="none"/>
          <w:u w:val="single"/>
        </w:rPr>
        <w:t>2022年</w:t>
      </w:r>
      <w:r>
        <w:rPr>
          <w:rFonts w:hint="eastAsia" w:ascii="Times New Roman" w:hAnsi="Times New Roman" w:eastAsia="方正仿宋_GBK"/>
          <w:bCs/>
          <w:kern w:val="0"/>
          <w:sz w:val="32"/>
          <w:szCs w:val="32"/>
          <w:highlight w:val="none"/>
          <w:u w:val="single"/>
          <w:lang w:val="en-US" w:eastAsia="zh-CN"/>
        </w:rPr>
        <w:t>8</w:t>
      </w:r>
      <w:r>
        <w:rPr>
          <w:rFonts w:hint="eastAsia" w:ascii="Times New Roman" w:hAnsi="Times New Roman" w:eastAsia="方正仿宋_GBK"/>
          <w:bCs/>
          <w:kern w:val="0"/>
          <w:sz w:val="32"/>
          <w:szCs w:val="32"/>
          <w:highlight w:val="none"/>
          <w:u w:val="single"/>
        </w:rPr>
        <w:t>月9日10时00分</w:t>
      </w:r>
      <w:r>
        <w:rPr>
          <w:rFonts w:hint="eastAsia" w:ascii="Times New Roman" w:hAnsi="Times New Roman" w:eastAsia="方正仿宋_GBK"/>
          <w:bCs/>
          <w:kern w:val="0"/>
          <w:sz w:val="32"/>
          <w:szCs w:val="32"/>
          <w:highlight w:val="none"/>
        </w:rPr>
        <w:t>在资阳市政府政务服务和公共资源交易服务中心举行。</w:t>
      </w:r>
    </w:p>
    <w:p>
      <w:pPr>
        <w:widowControl/>
        <w:spacing w:line="530" w:lineRule="exact"/>
        <w:ind w:firstLine="640" w:firstLineChars="200"/>
        <w:rPr>
          <w:rFonts w:ascii="方正仿宋_GBK" w:hAnsi="Times New Roman" w:eastAsia="方正仿宋_GBK" w:cs="Times New Roman"/>
          <w:color w:val="000000"/>
          <w:kern w:val="0"/>
          <w:sz w:val="32"/>
          <w:szCs w:val="32"/>
          <w:highlight w:val="none"/>
        </w:rPr>
      </w:pPr>
      <w:r>
        <w:rPr>
          <w:rFonts w:hint="eastAsia" w:ascii="方正仿宋_GBK" w:hAnsi="Times New Roman" w:eastAsia="方正仿宋_GBK" w:cs="Times New Roman"/>
          <w:color w:val="000000"/>
          <w:kern w:val="0"/>
          <w:sz w:val="32"/>
          <w:szCs w:val="32"/>
          <w:highlight w:val="none"/>
        </w:rPr>
        <w:t>九、新型冠状病毒感染肺炎疫情防控期间相关要求：</w:t>
      </w:r>
    </w:p>
    <w:p>
      <w:pPr>
        <w:widowControl/>
        <w:spacing w:line="530" w:lineRule="exact"/>
        <w:ind w:firstLine="640" w:firstLineChars="200"/>
        <w:rPr>
          <w:rFonts w:ascii="Times New Roman" w:hAnsi="Times New Roman" w:eastAsia="方正仿宋_GBK" w:cs="Times New Roman"/>
          <w:color w:val="000000"/>
          <w:kern w:val="0"/>
          <w:sz w:val="32"/>
          <w:szCs w:val="32"/>
          <w:highlight w:val="none"/>
        </w:rPr>
      </w:pPr>
      <w:r>
        <w:rPr>
          <w:rFonts w:hint="eastAsia" w:ascii="方正仿宋_GBK" w:hAnsi="Times New Roman" w:eastAsia="方正仿宋_GBK" w:cs="Times New Roman"/>
          <w:color w:val="000000"/>
          <w:kern w:val="0"/>
          <w:sz w:val="32"/>
          <w:szCs w:val="32"/>
          <w:highlight w:val="none"/>
        </w:rPr>
        <w:t>（一）交易</w:t>
      </w:r>
      <w:r>
        <w:rPr>
          <w:rFonts w:ascii="Times New Roman" w:hAnsi="Times New Roman" w:eastAsia="方正仿宋_GBK" w:cs="Times New Roman"/>
          <w:color w:val="000000"/>
          <w:kern w:val="0"/>
          <w:sz w:val="32"/>
          <w:szCs w:val="32"/>
          <w:highlight w:val="none"/>
        </w:rPr>
        <w:t>各方主体参加与人员须提前1小时到达</w:t>
      </w:r>
      <w:r>
        <w:rPr>
          <w:rFonts w:hint="eastAsia" w:ascii="Times New Roman" w:hAnsi="Times New Roman" w:eastAsia="方正仿宋_GBK"/>
          <w:color w:val="000000"/>
          <w:kern w:val="0"/>
          <w:sz w:val="32"/>
          <w:szCs w:val="32"/>
          <w:highlight w:val="none"/>
        </w:rPr>
        <w:t>拍卖</w:t>
      </w:r>
      <w:r>
        <w:rPr>
          <w:rFonts w:ascii="Times New Roman" w:hAnsi="Times New Roman" w:eastAsia="方正仿宋_GBK" w:cs="Times New Roman"/>
          <w:color w:val="000000"/>
          <w:kern w:val="0"/>
          <w:sz w:val="32"/>
          <w:szCs w:val="32"/>
          <w:highlight w:val="none"/>
        </w:rPr>
        <w:t>地点。为减少人员聚集，原则上每</w:t>
      </w:r>
      <w:r>
        <w:rPr>
          <w:rFonts w:hint="eastAsia" w:ascii="Times New Roman" w:hAnsi="Times New Roman" w:eastAsia="方正仿宋_GBK" w:cs="Times New Roman"/>
          <w:color w:val="000000"/>
          <w:kern w:val="0"/>
          <w:sz w:val="32"/>
          <w:szCs w:val="32"/>
          <w:highlight w:val="none"/>
        </w:rPr>
        <w:t>场</w:t>
      </w:r>
      <w:r>
        <w:rPr>
          <w:rFonts w:hint="eastAsia" w:ascii="Times New Roman" w:hAnsi="Times New Roman" w:eastAsia="方正仿宋_GBK"/>
          <w:color w:val="000000"/>
          <w:kern w:val="0"/>
          <w:sz w:val="32"/>
          <w:szCs w:val="32"/>
          <w:highlight w:val="none"/>
        </w:rPr>
        <w:t>拍卖会</w:t>
      </w:r>
      <w:r>
        <w:rPr>
          <w:rFonts w:ascii="Times New Roman" w:hAnsi="Times New Roman" w:eastAsia="方正仿宋_GBK" w:cs="Times New Roman"/>
          <w:color w:val="000000"/>
          <w:kern w:val="0"/>
          <w:sz w:val="32"/>
          <w:szCs w:val="32"/>
          <w:highlight w:val="none"/>
        </w:rPr>
        <w:t>出让人到场</w:t>
      </w:r>
      <w:r>
        <w:rPr>
          <w:rFonts w:hint="eastAsia" w:ascii="Times New Roman" w:hAnsi="Times New Roman" w:eastAsia="方正仿宋_GBK" w:cs="Times New Roman"/>
          <w:color w:val="000000"/>
          <w:kern w:val="0"/>
          <w:sz w:val="32"/>
          <w:szCs w:val="32"/>
          <w:highlight w:val="none"/>
        </w:rPr>
        <w:t>人员不超过</w:t>
      </w:r>
      <w:r>
        <w:rPr>
          <w:rFonts w:ascii="Times New Roman" w:hAnsi="Times New Roman" w:eastAsia="方正仿宋_GBK" w:cs="Times New Roman"/>
          <w:color w:val="000000"/>
          <w:kern w:val="0"/>
          <w:sz w:val="32"/>
          <w:szCs w:val="32"/>
          <w:highlight w:val="none"/>
        </w:rPr>
        <w:t>2名，每一竞买人领取1个竞价号牌，且每一竞买人只能指派不超过2名竞买人代表及陪同人员参与宗地现场</w:t>
      </w:r>
      <w:r>
        <w:rPr>
          <w:rFonts w:hint="eastAsia" w:ascii="Times New Roman" w:hAnsi="Times New Roman" w:eastAsia="方正仿宋_GBK"/>
          <w:color w:val="000000"/>
          <w:kern w:val="0"/>
          <w:sz w:val="32"/>
          <w:szCs w:val="32"/>
          <w:highlight w:val="none"/>
        </w:rPr>
        <w:t>拍卖</w:t>
      </w:r>
      <w:r>
        <w:rPr>
          <w:rFonts w:ascii="Times New Roman" w:hAnsi="Times New Roman" w:eastAsia="方正仿宋_GBK" w:cs="Times New Roman"/>
          <w:color w:val="000000"/>
          <w:kern w:val="0"/>
          <w:sz w:val="32"/>
          <w:szCs w:val="32"/>
          <w:highlight w:val="none"/>
        </w:rPr>
        <w:t>活动。</w:t>
      </w:r>
    </w:p>
    <w:p>
      <w:pPr>
        <w:widowControl/>
        <w:spacing w:line="530" w:lineRule="exact"/>
        <w:ind w:firstLine="640" w:firstLineChars="200"/>
        <w:rPr>
          <w:rFonts w:ascii="Times New Roman" w:hAnsi="Times New Roman" w:eastAsia="方正仿宋_GBK" w:cs="Times New Roman"/>
          <w:color w:val="000000"/>
          <w:kern w:val="0"/>
          <w:sz w:val="32"/>
          <w:szCs w:val="32"/>
          <w:highlight w:val="none"/>
        </w:rPr>
      </w:pPr>
      <w:r>
        <w:rPr>
          <w:rFonts w:ascii="Times New Roman" w:hAnsi="Times New Roman" w:eastAsia="方正仿宋_GBK" w:cs="Times New Roman"/>
          <w:color w:val="000000"/>
          <w:kern w:val="0"/>
          <w:sz w:val="32"/>
          <w:szCs w:val="32"/>
          <w:highlight w:val="none"/>
        </w:rPr>
        <w:t>（二）交易各方主体参与人员须佩戴口罩进入资阳市公共资源交易服务中心，并配合现场工作人员测量体温、消毒等工作，14天内有可疑患者接触史、有咳嗽发热等症状的人员不得进入交易现场。</w:t>
      </w:r>
    </w:p>
    <w:p>
      <w:pPr>
        <w:widowControl/>
        <w:spacing w:line="530" w:lineRule="exact"/>
        <w:ind w:firstLine="640" w:firstLineChars="200"/>
        <w:rPr>
          <w:rFonts w:ascii="方正仿宋_GBK" w:hAnsi="Times New Roman" w:eastAsia="方正仿宋_GBK" w:cs="Times New Roman"/>
          <w:bCs/>
          <w:color w:val="000000"/>
          <w:kern w:val="0"/>
          <w:sz w:val="32"/>
          <w:szCs w:val="32"/>
          <w:highlight w:val="none"/>
        </w:rPr>
      </w:pPr>
      <w:r>
        <w:rPr>
          <w:rFonts w:hint="eastAsia" w:ascii="方正仿宋_GBK" w:hAnsi="Times New Roman" w:eastAsia="方正仿宋_GBK" w:cs="Times New Roman"/>
          <w:color w:val="000000"/>
          <w:kern w:val="0"/>
          <w:sz w:val="32"/>
          <w:szCs w:val="32"/>
          <w:highlight w:val="none"/>
        </w:rPr>
        <w:t>十、</w:t>
      </w:r>
      <w:r>
        <w:rPr>
          <w:rFonts w:hint="eastAsia" w:ascii="方正仿宋_GBK" w:hAnsi="Times New Roman" w:eastAsia="方正仿宋_GBK" w:cs="Times New Roman"/>
          <w:bCs/>
          <w:color w:val="000000"/>
          <w:kern w:val="0"/>
          <w:sz w:val="32"/>
          <w:szCs w:val="32"/>
          <w:highlight w:val="none"/>
        </w:rPr>
        <w:t>其他事项</w:t>
      </w:r>
    </w:p>
    <w:p>
      <w:pPr>
        <w:widowControl/>
        <w:spacing w:line="53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（一）本公告同期发布于资阳市自然资源和规划局、中国土地市场网、全国公共资源交易平台（四川省·资阳市）等网站。</w:t>
      </w:r>
    </w:p>
    <w:p>
      <w:pPr>
        <w:widowControl/>
        <w:spacing w:line="530" w:lineRule="exact"/>
        <w:ind w:firstLine="640" w:firstLineChars="200"/>
        <w:rPr>
          <w:rFonts w:ascii="Times New Roman" w:hAnsi="Times New Roman" w:eastAsia="方正仿宋_GBK" w:cs="Times New Roman"/>
          <w:color w:val="000000"/>
          <w:spacing w:val="-8"/>
          <w:sz w:val="32"/>
          <w:szCs w:val="32"/>
          <w:highlight w:val="none"/>
        </w:rPr>
      </w:pPr>
      <w:r>
        <w:rPr>
          <w:rFonts w:ascii="Times New Roman" w:hAnsi="Times New Roman" w:eastAsia="方正仿宋_GBK" w:cs="Times New Roman"/>
          <w:color w:val="000000"/>
          <w:sz w:val="32"/>
          <w:szCs w:val="32"/>
          <w:highlight w:val="none"/>
        </w:rPr>
        <w:t>（二）</w:t>
      </w:r>
      <w:r>
        <w:rPr>
          <w:rFonts w:ascii="Times New Roman" w:hAnsi="Times New Roman" w:eastAsia="方正仿宋_GBK" w:cs="Times New Roman"/>
          <w:color w:val="000000"/>
          <w:spacing w:val="-8"/>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30" w:lineRule="exact"/>
        <w:ind w:firstLine="640" w:firstLineChars="200"/>
        <w:rPr>
          <w:rFonts w:ascii="方正仿宋_GBK" w:hAnsi="Times New Roman" w:eastAsia="方正仿宋_GBK" w:cs="Times New Roman"/>
          <w:bCs/>
          <w:color w:val="000000"/>
          <w:sz w:val="32"/>
          <w:szCs w:val="32"/>
          <w:highlight w:val="none"/>
        </w:rPr>
      </w:pPr>
      <w:r>
        <w:rPr>
          <w:rFonts w:hint="eastAsia" w:ascii="方正仿宋_GBK" w:hAnsi="Times New Roman" w:eastAsia="方正仿宋_GBK" w:cs="Times New Roman"/>
          <w:bCs/>
          <w:color w:val="000000"/>
          <w:sz w:val="32"/>
          <w:szCs w:val="32"/>
          <w:highlight w:val="none"/>
        </w:rPr>
        <w:t>十一、联系方式</w:t>
      </w:r>
      <w:r>
        <w:rPr>
          <w:rFonts w:hint="eastAsia" w:ascii="方正仿宋_GBK" w:hAnsi="Times New Roman" w:eastAsia="方正仿宋_GBK" w:cs="Times New Roman"/>
          <w:sz w:val="32"/>
          <w:szCs w:val="32"/>
          <w:highlight w:val="none"/>
        </w:rPr>
        <w:t>及办理地点</w:t>
      </w:r>
    </w:p>
    <w:p>
      <w:pPr>
        <w:spacing w:line="53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sz w:val="32"/>
          <w:szCs w:val="32"/>
          <w:highlight w:val="none"/>
        </w:rPr>
        <w:t>（资阳市雁江区河埝街12号2楼209房间）。</w:t>
      </w:r>
      <w:r>
        <w:rPr>
          <w:rFonts w:hint="eastAsia" w:ascii="Times New Roman" w:hAnsi="Times New Roman" w:eastAsia="方正仿宋_GBK" w:cs="Times New Roman"/>
          <w:color w:val="000000"/>
          <w:sz w:val="32"/>
          <w:szCs w:val="32"/>
          <w:highlight w:val="none"/>
        </w:rPr>
        <w:t>联系人：</w:t>
      </w:r>
      <w:r>
        <w:rPr>
          <w:rFonts w:hint="eastAsia" w:ascii="Times New Roman" w:hAnsi="Times New Roman" w:eastAsia="方正仿宋_GBK" w:cs="Times New Roman"/>
          <w:color w:val="000000"/>
          <w:sz w:val="32"/>
          <w:szCs w:val="32"/>
          <w:highlight w:val="none"/>
          <w:lang w:eastAsia="zh-CN"/>
        </w:rPr>
        <w:t>邱女士</w:t>
      </w:r>
      <w:r>
        <w:rPr>
          <w:rFonts w:hint="eastAsia" w:ascii="Times New Roman" w:hAnsi="Times New Roman" w:eastAsia="方正仿宋_GBK" w:cs="Times New Roman"/>
          <w:color w:val="000000"/>
          <w:sz w:val="32"/>
          <w:szCs w:val="32"/>
          <w:highlight w:val="none"/>
        </w:rPr>
        <w:t>；联系电话：028-26</w:t>
      </w:r>
      <w:r>
        <w:rPr>
          <w:rFonts w:hint="eastAsia" w:ascii="Times New Roman" w:hAnsi="Times New Roman" w:eastAsia="方正仿宋_GBK" w:cs="Times New Roman"/>
          <w:color w:val="000000"/>
          <w:sz w:val="32"/>
          <w:szCs w:val="32"/>
          <w:highlight w:val="none"/>
          <w:lang w:val="en-US" w:eastAsia="zh-CN"/>
        </w:rPr>
        <w:t>6</w:t>
      </w:r>
      <w:r>
        <w:rPr>
          <w:rFonts w:hint="eastAsia" w:ascii="Times New Roman" w:hAnsi="Times New Roman" w:eastAsia="方正仿宋_GBK" w:cs="Times New Roman"/>
          <w:color w:val="000000"/>
          <w:sz w:val="32"/>
          <w:szCs w:val="32"/>
          <w:highlight w:val="none"/>
        </w:rPr>
        <w:t>13787，</w:t>
      </w:r>
      <w:r>
        <w:rPr>
          <w:rFonts w:hint="eastAsia" w:ascii="Times New Roman" w:hAnsi="Times New Roman" w:eastAsia="方正仿宋_GBK" w:cs="Times New Roman"/>
          <w:color w:val="000000"/>
          <w:sz w:val="32"/>
          <w:szCs w:val="32"/>
          <w:highlight w:val="none"/>
          <w:lang w:val="en-US" w:eastAsia="zh-CN"/>
        </w:rPr>
        <w:t>13340687170</w:t>
      </w:r>
      <w:r>
        <w:rPr>
          <w:rFonts w:hint="eastAsia" w:ascii="Times New Roman" w:hAnsi="Times New Roman" w:eastAsia="方正仿宋_GBK" w:cs="Times New Roman"/>
          <w:color w:val="000000"/>
          <w:sz w:val="32"/>
          <w:szCs w:val="32"/>
          <w:highlight w:val="none"/>
        </w:rPr>
        <w:t>。</w:t>
      </w:r>
    </w:p>
    <w:p>
      <w:pPr>
        <w:spacing w:line="53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w:t>
      </w:r>
      <w:r>
        <w:rPr>
          <w:rFonts w:hint="eastAsia" w:ascii="Times New Roman" w:hAnsi="Times New Roman" w:eastAsia="方正仿宋_GBK" w:cs="Times New Roman"/>
          <w:color w:val="000000"/>
          <w:sz w:val="32"/>
          <w:szCs w:val="32"/>
          <w:highlight w:val="none"/>
          <w:lang w:eastAsia="zh-CN"/>
        </w:rPr>
        <w:t>吴先生</w:t>
      </w:r>
      <w:r>
        <w:rPr>
          <w:rFonts w:hint="eastAsia" w:ascii="Times New Roman" w:hAnsi="Times New Roman" w:eastAsia="方正仿宋_GBK" w:cs="Times New Roman"/>
          <w:color w:val="000000"/>
          <w:sz w:val="32"/>
          <w:szCs w:val="32"/>
          <w:highlight w:val="none"/>
        </w:rPr>
        <w:t>；咨询电话：</w:t>
      </w:r>
    </w:p>
    <w:p>
      <w:pPr>
        <w:spacing w:line="530" w:lineRule="exact"/>
        <w:rPr>
          <w:rFonts w:ascii="Times New Roman" w:hAnsi="Times New Roman" w:eastAsia="方正仿宋_GBK" w:cs="Times New Roman"/>
          <w:color w:val="000000"/>
          <w:sz w:val="32"/>
          <w:szCs w:val="32"/>
          <w:highlight w:val="none"/>
        </w:rPr>
      </w:pPr>
      <w:r>
        <w:rPr>
          <w:rFonts w:hint="eastAsia" w:ascii="Times New Roman" w:hAnsi="Times New Roman" w:eastAsia="方正仿宋_GBK" w:cs="Times New Roman"/>
          <w:color w:val="000000"/>
          <w:sz w:val="32"/>
          <w:szCs w:val="32"/>
          <w:highlight w:val="none"/>
        </w:rPr>
        <w:t>13982969120。</w:t>
      </w:r>
    </w:p>
    <w:p>
      <w:pPr>
        <w:spacing w:after="120" w:line="530" w:lineRule="exact"/>
        <w:ind w:firstLine="210" w:firstLineChars="100"/>
        <w:rPr>
          <w:rFonts w:ascii="Calibri" w:hAnsi="Calibri" w:eastAsia="宋体" w:cs="Times New Roman"/>
          <w:highlight w:val="none"/>
        </w:rPr>
      </w:pPr>
    </w:p>
    <w:p>
      <w:pPr>
        <w:spacing w:after="120" w:line="530" w:lineRule="exact"/>
        <w:ind w:firstLine="210" w:firstLineChars="100"/>
        <w:rPr>
          <w:rFonts w:ascii="Calibri" w:hAnsi="Calibri" w:eastAsia="宋体" w:cs="Times New Roman"/>
          <w:highlight w:val="none"/>
        </w:rPr>
      </w:pPr>
    </w:p>
    <w:p>
      <w:pPr>
        <w:spacing w:line="530" w:lineRule="exact"/>
        <w:jc w:val="right"/>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资阳市政府政务服务和公共资源交易服务中心</w:t>
      </w:r>
      <w:r>
        <w:rPr>
          <w:rFonts w:hint="eastAsia" w:ascii="Times New Roman" w:hAnsi="Times New Roman" w:eastAsia="方正仿宋_GBK" w:cs="Times New Roman"/>
          <w:color w:val="000000"/>
          <w:sz w:val="32"/>
          <w:szCs w:val="32"/>
          <w:highlight w:val="none"/>
        </w:rPr>
        <w:t xml:space="preserve">  </w:t>
      </w:r>
    </w:p>
    <w:p>
      <w:pPr>
        <w:spacing w:line="530" w:lineRule="exact"/>
        <w:ind w:right="640" w:firstLine="4640" w:firstLineChars="1450"/>
        <w:rPr>
          <w:rFonts w:ascii="Times New Roman" w:hAnsi="Times New Roman" w:eastAsia="方正仿宋_GBK"/>
          <w:color w:val="000000"/>
          <w:sz w:val="32"/>
          <w:szCs w:val="32"/>
          <w:highlight w:val="none"/>
        </w:rPr>
      </w:pPr>
      <w:r>
        <w:rPr>
          <w:rFonts w:ascii="Times New Roman" w:hAnsi="Times New Roman" w:eastAsia="方正仿宋_GBK" w:cs="Times New Roman"/>
          <w:color w:val="000000"/>
          <w:sz w:val="32"/>
          <w:szCs w:val="32"/>
          <w:highlight w:val="none"/>
        </w:rPr>
        <w:t>2022年</w:t>
      </w:r>
      <w:r>
        <w:rPr>
          <w:rFonts w:hint="eastAsia" w:ascii="Times New Roman" w:hAnsi="Times New Roman" w:eastAsia="方正仿宋_GBK" w:cs="Times New Roman"/>
          <w:color w:val="000000"/>
          <w:sz w:val="32"/>
          <w:szCs w:val="32"/>
          <w:highlight w:val="none"/>
          <w:lang w:val="en-US" w:eastAsia="zh-CN"/>
        </w:rPr>
        <w:t>7</w:t>
      </w:r>
      <w:r>
        <w:rPr>
          <w:rFonts w:ascii="Times New Roman" w:hAnsi="Times New Roman" w:eastAsia="方正仿宋_GBK" w:cs="Times New Roman"/>
          <w:color w:val="000000"/>
          <w:sz w:val="32"/>
          <w:szCs w:val="32"/>
          <w:highlight w:val="none"/>
        </w:rPr>
        <w:t>月</w:t>
      </w:r>
      <w:r>
        <w:rPr>
          <w:rFonts w:hint="eastAsia" w:ascii="Times New Roman" w:hAnsi="Times New Roman" w:eastAsia="方正仿宋_GBK" w:cs="Times New Roman"/>
          <w:color w:val="000000"/>
          <w:sz w:val="32"/>
          <w:szCs w:val="32"/>
          <w:highlight w:val="none"/>
          <w:lang w:val="en-US" w:eastAsia="zh-CN"/>
        </w:rPr>
        <w:t>18</w:t>
      </w:r>
      <w:r>
        <w:rPr>
          <w:rFonts w:ascii="Times New Roman" w:hAnsi="Times New Roman" w:eastAsia="方正仿宋_GBK" w:cs="Times New Roman"/>
          <w:color w:val="000000"/>
          <w:sz w:val="32"/>
          <w:szCs w:val="32"/>
          <w:highlight w:val="none"/>
        </w:rPr>
        <w:t>日</w:t>
      </w:r>
      <w:r>
        <w:rPr>
          <w:rFonts w:hint="eastAsia" w:ascii="Times New Roman" w:hAnsi="Times New Roman" w:eastAsia="方正仿宋_GBK" w:cs="Times New Roman"/>
          <w:color w:val="000000"/>
          <w:sz w:val="32"/>
          <w:szCs w:val="32"/>
          <w:highlight w:val="none"/>
        </w:rPr>
        <w:t xml:space="preserve">           </w:t>
      </w:r>
    </w:p>
    <w:p>
      <w:pPr>
        <w:pStyle w:val="18"/>
        <w:ind w:firstLine="210"/>
        <w:rPr>
          <w:highlight w:val="none"/>
        </w:rPr>
      </w:pPr>
    </w:p>
    <w:p>
      <w:pPr>
        <w:spacing w:line="590" w:lineRule="exact"/>
        <w:jc w:val="center"/>
        <w:rPr>
          <w:rFonts w:ascii="方正小标宋_GBK" w:hAnsi="微软雅黑" w:eastAsia="方正小标宋_GBK" w:cs="微软雅黑"/>
          <w:color w:val="000000" w:themeColor="text1"/>
          <w:sz w:val="44"/>
          <w:szCs w:val="44"/>
          <w:highlight w:val="none"/>
        </w:rPr>
      </w:pPr>
      <w:r>
        <w:rPr>
          <w:rFonts w:ascii="Times New Roman" w:hAnsi="Times New Roman" w:eastAsia="方正仿宋_GBK" w:cs="Times New Roman"/>
          <w:color w:val="FF0000"/>
          <w:sz w:val="32"/>
          <w:szCs w:val="32"/>
          <w:highlight w:val="none"/>
        </w:rPr>
        <w:br w:type="page"/>
      </w:r>
      <w:r>
        <w:rPr>
          <w:rFonts w:hint="eastAsia" w:ascii="方正小标宋_GBK" w:hAnsi="微软雅黑" w:eastAsia="方正小标宋_GBK" w:cs="微软雅黑"/>
          <w:color w:val="000000" w:themeColor="text1"/>
          <w:sz w:val="44"/>
          <w:szCs w:val="44"/>
          <w:highlight w:val="none"/>
        </w:rPr>
        <w:t>国有建设用地使用权拍卖出让须知</w:t>
      </w:r>
    </w:p>
    <w:p>
      <w:pPr>
        <w:spacing w:after="120"/>
        <w:ind w:firstLine="320" w:firstLineChars="100"/>
        <w:rPr>
          <w:rFonts w:ascii="Times New Roman" w:hAnsi="Times New Roman" w:eastAsia="仿宋_GB2312" w:cs="Times New Roman"/>
          <w:color w:val="000000" w:themeColor="text1"/>
          <w:sz w:val="32"/>
          <w:highlight w:val="none"/>
        </w:rPr>
      </w:pPr>
    </w:p>
    <w:p>
      <w:pPr>
        <w:spacing w:line="600" w:lineRule="exact"/>
        <w:ind w:firstLine="640" w:firstLineChars="200"/>
        <w:jc w:val="left"/>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color w:val="000000" w:themeColor="text1"/>
          <w:kern w:val="0"/>
          <w:sz w:val="32"/>
          <w:szCs w:val="32"/>
          <w:highlight w:val="none"/>
        </w:rPr>
        <w:t>（原国土资源部令第39号）</w:t>
      </w:r>
      <w:r>
        <w:rPr>
          <w:rFonts w:ascii="Times New Roman" w:hAnsi="Times New Roman" w:eastAsia="方正仿宋_GBK" w:cs="Times New Roman"/>
          <w:color w:val="000000" w:themeColor="text1"/>
          <w:sz w:val="32"/>
          <w:szCs w:val="32"/>
          <w:highlight w:val="none"/>
        </w:rPr>
        <w:t>等有关规定，经</w:t>
      </w:r>
      <w:r>
        <w:rPr>
          <w:rFonts w:ascii="Times New Roman" w:hAnsi="Times New Roman" w:eastAsia="方正仿宋_GBK" w:cs="Times New Roman"/>
          <w:color w:val="000000" w:themeColor="text1"/>
          <w:sz w:val="32"/>
          <w:szCs w:val="32"/>
          <w:highlight w:val="none"/>
          <w:u w:val="single"/>
        </w:rPr>
        <w:t>资阳市</w:t>
      </w:r>
      <w:r>
        <w:rPr>
          <w:rFonts w:ascii="Times New Roman" w:hAnsi="Times New Roman" w:eastAsia="方正仿宋_GBK" w:cs="Times New Roman"/>
          <w:color w:val="000000" w:themeColor="text1"/>
          <w:sz w:val="32"/>
          <w:szCs w:val="32"/>
          <w:highlight w:val="none"/>
        </w:rPr>
        <w:t>人民政府批准，受</w:t>
      </w:r>
      <w:r>
        <w:rPr>
          <w:rFonts w:hint="eastAsia" w:ascii="Times New Roman" w:hAnsi="Times New Roman" w:eastAsia="方正仿宋_GBK" w:cs="Times New Roman"/>
          <w:sz w:val="32"/>
          <w:szCs w:val="32"/>
          <w:highlight w:val="none"/>
          <w:u w:val="single"/>
        </w:rPr>
        <w:t>资阳市临空经济区管理委员会</w:t>
      </w:r>
      <w:r>
        <w:rPr>
          <w:rFonts w:ascii="Times New Roman" w:hAnsi="Times New Roman" w:eastAsia="方正仿宋_GBK" w:cs="Times New Roman"/>
          <w:color w:val="000000" w:themeColor="text1"/>
          <w:sz w:val="32"/>
          <w:szCs w:val="32"/>
          <w:highlight w:val="none"/>
        </w:rPr>
        <w:t>委托，</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以</w:t>
      </w:r>
      <w:r>
        <w:rPr>
          <w:rFonts w:ascii="Times New Roman" w:hAnsi="Times New Roman" w:eastAsia="方正仿宋_GBK" w:cs="Times New Roman"/>
          <w:color w:val="000000" w:themeColor="text1"/>
          <w:sz w:val="32"/>
          <w:szCs w:val="32"/>
          <w:highlight w:val="none"/>
          <w:u w:val="single"/>
        </w:rPr>
        <w:t>拍卖</w:t>
      </w:r>
      <w:r>
        <w:rPr>
          <w:rFonts w:ascii="Times New Roman" w:hAnsi="Times New Roman" w:eastAsia="方正仿宋_GBK" w:cs="Times New Roman"/>
          <w:color w:val="000000" w:themeColor="text1"/>
          <w:sz w:val="32"/>
          <w:szCs w:val="32"/>
          <w:highlight w:val="none"/>
        </w:rPr>
        <w:t>方式出让</w:t>
      </w:r>
      <w:r>
        <w:rPr>
          <w:rFonts w:hint="eastAsia" w:ascii="Times New Roman" w:hAnsi="Times New Roman" w:eastAsia="方正仿宋_GBK" w:cs="Times New Roman"/>
          <w:color w:val="000000" w:themeColor="text1"/>
          <w:sz w:val="32"/>
          <w:szCs w:val="32"/>
          <w:highlight w:val="none"/>
          <w:u w:val="single"/>
        </w:rPr>
        <w:t>雁溪湖综合服务组团</w:t>
      </w:r>
      <w:r>
        <w:rPr>
          <w:rFonts w:ascii="Times New Roman" w:hAnsi="Times New Roman" w:eastAsia="方正仿宋_GBK" w:cs="Times New Roman"/>
          <w:color w:val="000000" w:themeColor="text1"/>
          <w:sz w:val="32"/>
          <w:szCs w:val="32"/>
          <w:highlight w:val="none"/>
        </w:rPr>
        <w:t>一宗地表国有建设用地使用权（以下简称“该地块”）。</w:t>
      </w:r>
    </w:p>
    <w:p>
      <w:pPr>
        <w:spacing w:line="600" w:lineRule="exact"/>
        <w:ind w:firstLine="640" w:firstLineChars="200"/>
        <w:jc w:val="left"/>
        <w:rPr>
          <w:rFonts w:ascii="Times New Roman" w:hAnsi="Times New Roman" w:eastAsia="方正仿宋_GBK" w:cs="Times New Roman"/>
          <w:b/>
          <w:sz w:val="32"/>
          <w:szCs w:val="32"/>
          <w:highlight w:val="none"/>
        </w:rPr>
      </w:pPr>
      <w:r>
        <w:rPr>
          <w:rFonts w:hint="eastAsia" w:ascii="方正黑体_GBK" w:hAnsi="Times New Roman" w:eastAsia="方正黑体_GBK" w:cs="Times New Roman"/>
          <w:sz w:val="32"/>
          <w:szCs w:val="32"/>
          <w:highlight w:val="none"/>
        </w:rPr>
        <w:t>一、</w:t>
      </w:r>
      <w:r>
        <w:rPr>
          <w:rFonts w:ascii="Times New Roman" w:hAnsi="Times New Roman" w:eastAsia="方正仿宋_GBK" w:cs="Times New Roman"/>
          <w:b/>
          <w:sz w:val="32"/>
          <w:szCs w:val="32"/>
          <w:highlight w:val="none"/>
        </w:rPr>
        <w:t>本次国有建设用地使用权的出让人为</w:t>
      </w:r>
      <w:r>
        <w:rPr>
          <w:rFonts w:hint="eastAsia" w:ascii="Times New Roman" w:hAnsi="Times New Roman" w:eastAsia="方正仿宋_GBK" w:cs="Times New Roman"/>
          <w:b/>
          <w:sz w:val="32"/>
          <w:szCs w:val="32"/>
          <w:highlight w:val="none"/>
          <w:u w:val="single"/>
        </w:rPr>
        <w:t>资阳市临空经济区管理委员会</w:t>
      </w:r>
      <w:r>
        <w:rPr>
          <w:rFonts w:ascii="Times New Roman" w:hAnsi="Times New Roman" w:eastAsia="方正仿宋_GBK" w:cs="Times New Roman"/>
          <w:b/>
          <w:sz w:val="32"/>
          <w:szCs w:val="32"/>
          <w:highlight w:val="none"/>
        </w:rPr>
        <w:t>，具体组织实施由</w:t>
      </w:r>
      <w:r>
        <w:rPr>
          <w:rFonts w:hint="eastAsia" w:ascii="Times New Roman" w:hAnsi="Times New Roman" w:eastAsia="方正仿宋_GBK" w:cs="Times New Roman"/>
          <w:b/>
          <w:sz w:val="32"/>
          <w:szCs w:val="32"/>
          <w:highlight w:val="none"/>
          <w:u w:val="single"/>
        </w:rPr>
        <w:t>资阳市临空经济区管理委员会</w:t>
      </w:r>
      <w:r>
        <w:rPr>
          <w:rFonts w:ascii="Times New Roman" w:hAnsi="Times New Roman" w:eastAsia="方正仿宋_GBK" w:cs="Times New Roman"/>
          <w:b/>
          <w:sz w:val="32"/>
          <w:szCs w:val="32"/>
          <w:highlight w:val="none"/>
        </w:rPr>
        <w:t>授权委托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color w:val="000000"/>
          <w:sz w:val="32"/>
          <w:szCs w:val="32"/>
          <w:highlight w:val="none"/>
          <w:lang w:val="en-US" w:eastAsia="zh-CN"/>
        </w:rPr>
        <w:t>13340687170</w:t>
      </w:r>
      <w:r>
        <w:rPr>
          <w:rFonts w:ascii="Times New Roman" w:hAnsi="Times New Roman" w:eastAsia="方正仿宋_GBK" w:cs="Times New Roman"/>
          <w:b/>
          <w:sz w:val="32"/>
          <w:szCs w:val="32"/>
          <w:highlight w:val="none"/>
        </w:rPr>
        <w:t>。</w:t>
      </w:r>
    </w:p>
    <w:p>
      <w:pPr>
        <w:spacing w:line="600" w:lineRule="exact"/>
        <w:ind w:firstLine="640" w:firstLineChars="200"/>
        <w:rPr>
          <w:rFonts w:ascii="Times New Roman" w:hAnsi="Times New Roman" w:eastAsia="方正仿宋_GBK" w:cs="Times New Roman"/>
          <w:b/>
          <w:sz w:val="32"/>
          <w:szCs w:val="32"/>
          <w:highlight w:val="none"/>
        </w:rPr>
      </w:pPr>
      <w:r>
        <w:rPr>
          <w:rFonts w:hint="eastAsia" w:ascii="方正黑体_GBK" w:hAnsi="Times New Roman" w:eastAsia="方正黑体_GBK" w:cs="Times New Roman"/>
          <w:sz w:val="32"/>
          <w:szCs w:val="32"/>
          <w:highlight w:val="none"/>
        </w:rPr>
        <w:t>二、</w:t>
      </w:r>
      <w:r>
        <w:rPr>
          <w:rFonts w:ascii="Times New Roman" w:hAnsi="Times New Roman" w:eastAsia="方正仿宋_GBK" w:cs="Times New Roman"/>
          <w:b/>
          <w:sz w:val="32"/>
          <w:szCs w:val="32"/>
          <w:highlight w:val="none"/>
        </w:rPr>
        <w:t>本次国有建设用地使用权</w:t>
      </w:r>
      <w:r>
        <w:rPr>
          <w:rFonts w:hint="eastAsia" w:ascii="Times New Roman" w:hAnsi="Times New Roman" w:eastAsia="方正仿宋_GBK" w:cs="Times New Roman"/>
          <w:b/>
          <w:sz w:val="32"/>
          <w:szCs w:val="32"/>
          <w:highlight w:val="none"/>
        </w:rPr>
        <w:t>拍卖</w:t>
      </w:r>
      <w:r>
        <w:rPr>
          <w:rFonts w:ascii="Times New Roman" w:hAnsi="Times New Roman" w:eastAsia="方正仿宋_GBK" w:cs="Times New Roman"/>
          <w:b/>
          <w:sz w:val="32"/>
          <w:szCs w:val="32"/>
          <w:highlight w:val="none"/>
        </w:rPr>
        <w:t>出让遵循公开、公平、公正和诚实信用的原则。竞买人须认真阅读本《须知》的所有条款，并严格按照本《须知》的要求参加本次</w:t>
      </w:r>
      <w:r>
        <w:rPr>
          <w:rFonts w:hint="eastAsia" w:ascii="Times New Roman" w:hAnsi="Times New Roman" w:eastAsia="方正仿宋_GBK" w:cs="Times New Roman"/>
          <w:b/>
          <w:sz w:val="32"/>
          <w:szCs w:val="32"/>
          <w:highlight w:val="none"/>
        </w:rPr>
        <w:t>拍卖</w:t>
      </w:r>
      <w:r>
        <w:rPr>
          <w:rFonts w:ascii="Times New Roman" w:hAnsi="Times New Roman" w:eastAsia="方正仿宋_GBK" w:cs="Times New Roman"/>
          <w:b/>
          <w:sz w:val="32"/>
          <w:szCs w:val="32"/>
          <w:highlight w:val="none"/>
        </w:rPr>
        <w:t>出让活动，并承担相应的法律责任。</w:t>
      </w:r>
    </w:p>
    <w:p>
      <w:pPr>
        <w:spacing w:line="600" w:lineRule="exact"/>
        <w:ind w:firstLine="642" w:firstLineChars="200"/>
        <w:jc w:val="both"/>
        <w:rPr>
          <w:rFonts w:ascii="方正黑体_GBK" w:hAnsi="方正黑体_GBK" w:eastAsia="方正黑体_GBK" w:cs="方正黑体_GBK"/>
          <w:b/>
          <w:bCs/>
          <w:color w:val="000000" w:themeColor="text1"/>
          <w:sz w:val="32"/>
          <w:szCs w:val="32"/>
          <w:highlight w:val="none"/>
        </w:rPr>
      </w:pPr>
      <w:r>
        <w:rPr>
          <w:rFonts w:ascii="Times New Roman" w:hAnsi="Times New Roman" w:eastAsia="方正黑体_GBK" w:cs="Times New Roman"/>
          <w:b/>
          <w:bCs/>
          <w:color w:val="000000" w:themeColor="text1"/>
          <w:sz w:val="32"/>
          <w:szCs w:val="32"/>
          <w:highlight w:val="none"/>
        </w:rPr>
        <w:t>三、</w:t>
      </w:r>
      <w:r>
        <w:rPr>
          <w:rFonts w:hint="eastAsia" w:ascii="Times New Roman" w:hAnsi="Times New Roman" w:eastAsia="方正黑体_GBK" w:cs="Times New Roman"/>
          <w:b/>
          <w:bCs/>
          <w:sz w:val="32"/>
          <w:szCs w:val="32"/>
          <w:highlight w:val="none"/>
        </w:rPr>
        <w:t>LKYD—2022—009</w:t>
      </w:r>
      <w:r>
        <w:rPr>
          <w:rFonts w:ascii="Times New Roman" w:hAnsi="Times New Roman" w:eastAsia="方正黑体_GBK" w:cs="Times New Roman"/>
          <w:b/>
          <w:bCs/>
          <w:color w:val="000000" w:themeColor="text1"/>
          <w:sz w:val="32"/>
          <w:szCs w:val="32"/>
          <w:highlight w:val="none"/>
        </w:rPr>
        <w:t>号地块</w:t>
      </w:r>
      <w:r>
        <w:rPr>
          <w:rFonts w:hint="eastAsia" w:ascii="方正黑体_GBK" w:hAnsi="方正黑体_GBK" w:eastAsia="方正黑体_GBK" w:cs="方正黑体_GBK"/>
          <w:b/>
          <w:bCs/>
          <w:color w:val="000000" w:themeColor="text1"/>
          <w:sz w:val="32"/>
          <w:szCs w:val="32"/>
          <w:highlight w:val="none"/>
        </w:rPr>
        <w:t>基本情况及相关要求</w:t>
      </w:r>
    </w:p>
    <w:p>
      <w:pPr>
        <w:widowControl/>
        <w:spacing w:line="600" w:lineRule="exact"/>
        <w:ind w:firstLine="642" w:firstLineChars="200"/>
        <w:outlineLvl w:val="0"/>
        <w:rPr>
          <w:rFonts w:ascii="方正楷体_GBK" w:hAnsi="方正楷体_GBK" w:eastAsia="方正楷体_GBK" w:cs="方正楷体_GBK"/>
          <w:b/>
          <w:bCs/>
          <w:sz w:val="32"/>
          <w:szCs w:val="32"/>
          <w:highlight w:val="none"/>
        </w:rPr>
      </w:pPr>
      <w:r>
        <w:rPr>
          <w:rFonts w:hint="eastAsia" w:ascii="方正楷体_GBK" w:hAnsi="方正楷体_GBK" w:eastAsia="方正楷体_GBK" w:cs="方正楷体_GBK"/>
          <w:b/>
          <w:bCs/>
          <w:sz w:val="32"/>
          <w:szCs w:val="32"/>
          <w:highlight w:val="none"/>
        </w:rPr>
        <w:t>（一）地块规划设计指标等基本情况</w:t>
      </w:r>
    </w:p>
    <w:p>
      <w:pPr>
        <w:widowControl/>
        <w:spacing w:line="600" w:lineRule="exact"/>
        <w:ind w:firstLine="640" w:firstLineChars="200"/>
        <w:rPr>
          <w:rFonts w:hint="eastAsia" w:ascii="Times New Roman" w:hAnsi="Times New Roman" w:eastAsia="方正仿宋_GBK" w:cs="Times New Roman"/>
          <w:bCs/>
          <w:sz w:val="32"/>
          <w:szCs w:val="32"/>
          <w:highlight w:val="none"/>
          <w:u w:val="single"/>
        </w:rPr>
      </w:pPr>
      <w:r>
        <w:rPr>
          <w:rFonts w:hint="eastAsia" w:ascii="Times New Roman" w:hAnsi="Times New Roman" w:eastAsia="方正仿宋_GBK" w:cs="Times New Roman"/>
          <w:bCs/>
          <w:sz w:val="32"/>
          <w:szCs w:val="32"/>
          <w:highlight w:val="none"/>
          <w:lang w:val="en-US" w:eastAsia="zh-CN"/>
        </w:rPr>
        <w:t xml:space="preserve">1. </w:t>
      </w:r>
      <w:r>
        <w:rPr>
          <w:rFonts w:hint="eastAsia" w:ascii="Times New Roman" w:hAnsi="Times New Roman" w:eastAsia="方正仿宋_GBK" w:cs="Times New Roman"/>
          <w:bCs/>
          <w:sz w:val="32"/>
          <w:szCs w:val="32"/>
          <w:highlight w:val="none"/>
        </w:rPr>
        <w:t>宗地位置：</w:t>
      </w:r>
      <w:r>
        <w:rPr>
          <w:rFonts w:hint="eastAsia" w:ascii="Times New Roman" w:hAnsi="Times New Roman" w:eastAsia="方正仿宋_GBK" w:cs="Times New Roman"/>
          <w:bCs/>
          <w:sz w:val="32"/>
          <w:szCs w:val="32"/>
          <w:highlight w:val="none"/>
          <w:u w:val="single"/>
        </w:rPr>
        <w:t>雁溪湖综合服务组团。</w:t>
      </w:r>
    </w:p>
    <w:p>
      <w:pPr>
        <w:widowControl/>
        <w:spacing w:line="600" w:lineRule="exact"/>
        <w:ind w:firstLine="640" w:firstLineChars="200"/>
        <w:rPr>
          <w:rFonts w:hint="eastAsia" w:ascii="Times New Roman" w:hAnsi="Times New Roman" w:eastAsia="方正仿宋_GBK" w:cs="Times New Roman"/>
          <w:bCs/>
          <w:sz w:val="32"/>
          <w:szCs w:val="32"/>
          <w:highlight w:val="none"/>
          <w:u w:val="single"/>
        </w:rPr>
      </w:pPr>
      <w:r>
        <w:rPr>
          <w:rFonts w:hint="eastAsia" w:ascii="Times New Roman" w:hAnsi="Times New Roman" w:eastAsia="方正仿宋_GBK" w:cs="Times New Roman"/>
          <w:bCs/>
          <w:sz w:val="32"/>
          <w:szCs w:val="32"/>
          <w:highlight w:val="none"/>
          <w:lang w:val="en-US" w:eastAsia="zh-CN"/>
        </w:rPr>
        <w:t xml:space="preserve">2. </w:t>
      </w:r>
      <w:r>
        <w:rPr>
          <w:rFonts w:hint="eastAsia" w:ascii="Times New Roman" w:hAnsi="Times New Roman" w:eastAsia="方正仿宋_GBK" w:cs="Times New Roman"/>
          <w:bCs/>
          <w:sz w:val="32"/>
          <w:szCs w:val="32"/>
          <w:highlight w:val="none"/>
        </w:rPr>
        <w:t>宗地编号：</w:t>
      </w:r>
      <w:r>
        <w:rPr>
          <w:rFonts w:hint="eastAsia" w:ascii="Times New Roman" w:hAnsi="Times New Roman" w:eastAsia="方正仿宋_GBK" w:cs="Times New Roman"/>
          <w:bCs/>
          <w:sz w:val="32"/>
          <w:szCs w:val="32"/>
          <w:highlight w:val="none"/>
          <w:u w:val="single"/>
        </w:rPr>
        <w:t>LKYD—2022—009。</w:t>
      </w:r>
    </w:p>
    <w:p>
      <w:pPr>
        <w:widowControl/>
        <w:spacing w:line="600" w:lineRule="exact"/>
        <w:ind w:firstLine="640" w:firstLineChars="200"/>
        <w:rPr>
          <w:rFonts w:hint="eastAsia" w:ascii="Times New Roman" w:hAnsi="Times New Roman" w:eastAsia="方正仿宋_GBK" w:cs="Times New Roman"/>
          <w:bCs/>
          <w:sz w:val="32"/>
          <w:szCs w:val="32"/>
          <w:highlight w:val="none"/>
          <w:u w:val="single"/>
        </w:rPr>
      </w:pPr>
      <w:r>
        <w:rPr>
          <w:rFonts w:hint="eastAsia" w:ascii="Times New Roman" w:hAnsi="Times New Roman" w:eastAsia="方正仿宋_GBK" w:cs="Times New Roman"/>
          <w:bCs/>
          <w:sz w:val="32"/>
          <w:szCs w:val="32"/>
          <w:highlight w:val="none"/>
          <w:lang w:val="en-US" w:eastAsia="zh-CN"/>
        </w:rPr>
        <w:t xml:space="preserve">3. </w:t>
      </w:r>
      <w:r>
        <w:rPr>
          <w:rFonts w:hint="eastAsia" w:ascii="Times New Roman" w:hAnsi="Times New Roman" w:eastAsia="方正仿宋_GBK" w:cs="Times New Roman"/>
          <w:bCs/>
          <w:sz w:val="32"/>
          <w:szCs w:val="32"/>
          <w:highlight w:val="none"/>
        </w:rPr>
        <w:t xml:space="preserve">宗地代码： </w:t>
      </w:r>
      <w:r>
        <w:rPr>
          <w:rFonts w:hint="eastAsia" w:ascii="Times New Roman" w:hAnsi="Times New Roman" w:eastAsia="方正仿宋_GBK" w:cs="Times New Roman"/>
          <w:bCs/>
          <w:sz w:val="32"/>
          <w:szCs w:val="32"/>
          <w:highlight w:val="none"/>
          <w:u w:val="single"/>
        </w:rPr>
        <w:t>512002009022GB00002  。</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4. </w:t>
      </w:r>
      <w:r>
        <w:rPr>
          <w:rFonts w:hint="eastAsia" w:ascii="Times New Roman" w:hAnsi="Times New Roman" w:eastAsia="方正仿宋_GBK" w:cs="Times New Roman"/>
          <w:bCs/>
          <w:sz w:val="32"/>
          <w:szCs w:val="32"/>
          <w:highlight w:val="none"/>
        </w:rPr>
        <w:t>出让面积（净用地面积）：</w:t>
      </w:r>
      <w:r>
        <w:rPr>
          <w:rFonts w:hint="eastAsia" w:ascii="Times New Roman" w:hAnsi="Times New Roman" w:eastAsia="方正仿宋_GBK" w:cs="Times New Roman"/>
          <w:bCs/>
          <w:sz w:val="32"/>
          <w:szCs w:val="32"/>
          <w:highlight w:val="none"/>
          <w:u w:val="single"/>
        </w:rPr>
        <w:t>85229.51平方米。</w:t>
      </w:r>
    </w:p>
    <w:p>
      <w:pPr>
        <w:widowControl/>
        <w:spacing w:line="600" w:lineRule="exact"/>
        <w:ind w:firstLine="640" w:firstLineChars="200"/>
        <w:rPr>
          <w:rFonts w:hint="eastAsia" w:ascii="Times New Roman" w:hAnsi="Times New Roman" w:eastAsia="方正仿宋_GBK" w:cs="Times New Roman"/>
          <w:bCs/>
          <w:sz w:val="32"/>
          <w:szCs w:val="32"/>
          <w:highlight w:val="none"/>
          <w:u w:val="single"/>
        </w:rPr>
      </w:pPr>
      <w:r>
        <w:rPr>
          <w:rFonts w:hint="eastAsia" w:ascii="Times New Roman" w:hAnsi="Times New Roman" w:eastAsia="方正仿宋_GBK" w:cs="Times New Roman"/>
          <w:bCs/>
          <w:sz w:val="32"/>
          <w:szCs w:val="32"/>
          <w:highlight w:val="none"/>
          <w:lang w:val="en-US" w:eastAsia="zh-CN"/>
        </w:rPr>
        <w:t xml:space="preserve">5. </w:t>
      </w:r>
      <w:r>
        <w:rPr>
          <w:rFonts w:hint="eastAsia" w:ascii="Times New Roman" w:hAnsi="Times New Roman" w:eastAsia="方正仿宋_GBK" w:cs="Times New Roman"/>
          <w:bCs/>
          <w:sz w:val="32"/>
          <w:szCs w:val="32"/>
          <w:highlight w:val="none"/>
        </w:rPr>
        <w:t>出让宗地平面界址及空间使用范围：</w:t>
      </w:r>
      <w:r>
        <w:rPr>
          <w:rFonts w:hint="eastAsia" w:ascii="Times New Roman" w:hAnsi="Times New Roman" w:eastAsia="方正仿宋_GBK" w:cs="Times New Roman"/>
          <w:bCs/>
          <w:sz w:val="32"/>
          <w:szCs w:val="32"/>
          <w:highlight w:val="none"/>
          <w:u w:val="single"/>
        </w:rPr>
        <w:t>该宗地的空间使用范围为地表建设用地使用权（以下简称“该宗地”），宗地平面界址详见LKYD—2022—009号宗地规划用地红线图及四川星光测绘服务有限公司的勘测定界图，宗地竖向界限应结合宗地周边路网高程在审查建筑方案时另行确定。</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6. </w:t>
      </w:r>
      <w:r>
        <w:rPr>
          <w:rFonts w:hint="eastAsia" w:ascii="Times New Roman" w:hAnsi="Times New Roman" w:eastAsia="方正仿宋_GBK" w:cs="Times New Roman"/>
          <w:bCs/>
          <w:sz w:val="32"/>
          <w:szCs w:val="32"/>
          <w:highlight w:val="none"/>
        </w:rPr>
        <w:t>土地用途：</w:t>
      </w:r>
      <w:r>
        <w:rPr>
          <w:rFonts w:hint="eastAsia" w:ascii="Times New Roman" w:hAnsi="Times New Roman" w:eastAsia="方正仿宋_GBK" w:cs="Times New Roman"/>
          <w:bCs/>
          <w:sz w:val="32"/>
          <w:szCs w:val="32"/>
          <w:highlight w:val="none"/>
          <w:u w:val="single"/>
        </w:rPr>
        <w:t>城镇住宅用地。</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7. </w:t>
      </w:r>
      <w:r>
        <w:rPr>
          <w:rFonts w:hint="eastAsia" w:ascii="Times New Roman" w:hAnsi="Times New Roman" w:eastAsia="方正仿宋_GBK" w:cs="Times New Roman"/>
          <w:bCs/>
          <w:sz w:val="32"/>
          <w:szCs w:val="32"/>
          <w:highlight w:val="none"/>
        </w:rPr>
        <w:t>规划容积率：</w:t>
      </w:r>
      <w:r>
        <w:rPr>
          <w:rFonts w:hint="eastAsia" w:ascii="Times New Roman" w:hAnsi="Times New Roman" w:eastAsia="方正仿宋_GBK" w:cs="Times New Roman"/>
          <w:bCs/>
          <w:sz w:val="32"/>
          <w:szCs w:val="32"/>
          <w:highlight w:val="none"/>
          <w:u w:val="single"/>
        </w:rPr>
        <w:t>≤1.5且≥1.0。</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8. </w:t>
      </w:r>
      <w:r>
        <w:rPr>
          <w:rFonts w:hint="eastAsia" w:ascii="Times New Roman" w:hAnsi="Times New Roman" w:eastAsia="方正仿宋_GBK" w:cs="Times New Roman"/>
          <w:bCs/>
          <w:sz w:val="32"/>
          <w:szCs w:val="32"/>
          <w:highlight w:val="none"/>
        </w:rPr>
        <w:t>规划建筑密度：</w:t>
      </w:r>
      <w:r>
        <w:rPr>
          <w:rFonts w:hint="eastAsia" w:ascii="Times New Roman" w:hAnsi="Times New Roman" w:eastAsia="方正仿宋_GBK" w:cs="Times New Roman"/>
          <w:bCs/>
          <w:sz w:val="32"/>
          <w:szCs w:val="32"/>
          <w:highlight w:val="none"/>
          <w:u w:val="single"/>
        </w:rPr>
        <w:t>≤30%。</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9. </w:t>
      </w:r>
      <w:r>
        <w:rPr>
          <w:rFonts w:hint="eastAsia" w:ascii="Times New Roman" w:hAnsi="Times New Roman" w:eastAsia="方正仿宋_GBK" w:cs="Times New Roman"/>
          <w:bCs/>
          <w:sz w:val="32"/>
          <w:szCs w:val="32"/>
          <w:highlight w:val="none"/>
        </w:rPr>
        <w:t>绿地率：</w:t>
      </w:r>
      <w:r>
        <w:rPr>
          <w:rFonts w:hint="eastAsia" w:ascii="Times New Roman" w:hAnsi="Times New Roman" w:eastAsia="方正仿宋_GBK" w:cs="Times New Roman"/>
          <w:bCs/>
          <w:sz w:val="32"/>
          <w:szCs w:val="32"/>
          <w:highlight w:val="none"/>
          <w:u w:val="single"/>
        </w:rPr>
        <w:t>≥35%。</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10. </w:t>
      </w:r>
      <w:r>
        <w:rPr>
          <w:rFonts w:hint="eastAsia" w:ascii="Times New Roman" w:hAnsi="Times New Roman" w:eastAsia="方正仿宋_GBK" w:cs="Times New Roman"/>
          <w:bCs/>
          <w:sz w:val="32"/>
          <w:szCs w:val="32"/>
          <w:highlight w:val="none"/>
        </w:rPr>
        <w:t>建筑控制高度：</w:t>
      </w:r>
      <w:r>
        <w:rPr>
          <w:rFonts w:hint="eastAsia" w:ascii="Times New Roman" w:hAnsi="Times New Roman" w:eastAsia="方正仿宋_GBK" w:cs="Times New Roman"/>
          <w:bCs/>
          <w:sz w:val="32"/>
          <w:szCs w:val="32"/>
          <w:highlight w:val="none"/>
          <w:u w:val="single"/>
        </w:rPr>
        <w:t>≤36米。</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11. </w:t>
      </w:r>
      <w:r>
        <w:rPr>
          <w:rFonts w:hint="eastAsia" w:ascii="Times New Roman" w:hAnsi="Times New Roman" w:eastAsia="方正仿宋_GBK" w:cs="Times New Roman"/>
          <w:bCs/>
          <w:sz w:val="32"/>
          <w:szCs w:val="32"/>
          <w:highlight w:val="none"/>
        </w:rPr>
        <w:t>土地开发程度：</w:t>
      </w:r>
      <w:r>
        <w:rPr>
          <w:rFonts w:hint="eastAsia" w:ascii="Times New Roman" w:hAnsi="Times New Roman" w:eastAsia="方正仿宋_GBK" w:cs="Times New Roman"/>
          <w:bCs/>
          <w:sz w:val="32"/>
          <w:szCs w:val="32"/>
          <w:highlight w:val="none"/>
          <w:u w:val="single"/>
        </w:rPr>
        <w:t>以现状地形地貌及周边配套为准。</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12. </w:t>
      </w:r>
      <w:r>
        <w:rPr>
          <w:rFonts w:hint="eastAsia" w:ascii="Times New Roman" w:hAnsi="Times New Roman" w:eastAsia="方正仿宋_GBK" w:cs="Times New Roman"/>
          <w:bCs/>
          <w:sz w:val="32"/>
          <w:szCs w:val="32"/>
          <w:highlight w:val="none"/>
          <w:u w:val="single"/>
        </w:rPr>
        <w:t>土地使用权出让年期：城镇住宅用地70年，其他无偿移交政府的按相应规定用途及法定的最高土地出让年限确定。</w:t>
      </w:r>
    </w:p>
    <w:p>
      <w:pPr>
        <w:widowControl/>
        <w:spacing w:line="600" w:lineRule="exact"/>
        <w:ind w:firstLine="642" w:firstLineChars="200"/>
        <w:rPr>
          <w:rFonts w:hint="eastAsia" w:ascii="方正楷体_GBK" w:hAnsi="方正楷体_GBK" w:eastAsia="方正楷体_GBK" w:cs="方正楷体_GBK"/>
          <w:b/>
          <w:bCs/>
          <w:sz w:val="32"/>
          <w:szCs w:val="32"/>
          <w:highlight w:val="none"/>
        </w:rPr>
      </w:pP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二</w:t>
      </w: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出让人</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该宗地出让人为资阳市临空经济区管理委员会。</w:t>
      </w:r>
    </w:p>
    <w:p>
      <w:pPr>
        <w:widowControl/>
        <w:spacing w:line="600" w:lineRule="exact"/>
        <w:ind w:firstLine="642" w:firstLineChars="200"/>
        <w:outlineLvl w:val="0"/>
        <w:rPr>
          <w:rFonts w:hint="eastAsia" w:ascii="方正楷体_GBK" w:hAnsi="方正楷体_GBK" w:eastAsia="方正楷体_GBK" w:cs="方正楷体_GBK"/>
          <w:b/>
          <w:bCs/>
          <w:sz w:val="32"/>
          <w:szCs w:val="32"/>
          <w:highlight w:val="none"/>
        </w:rPr>
      </w:pP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三</w:t>
      </w: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出让方式</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该宗地采用增价方式</w:t>
      </w:r>
      <w:r>
        <w:rPr>
          <w:rFonts w:hint="eastAsia" w:ascii="Times New Roman" w:hAnsi="Times New Roman" w:eastAsia="方正仿宋_GBK" w:cs="Times New Roman"/>
          <w:bCs/>
          <w:sz w:val="32"/>
          <w:szCs w:val="32"/>
          <w:highlight w:val="none"/>
          <w:u w:val="single"/>
        </w:rPr>
        <w:t>有底价拍卖</w:t>
      </w:r>
      <w:r>
        <w:rPr>
          <w:rFonts w:hint="eastAsia" w:ascii="Times New Roman" w:hAnsi="Times New Roman" w:eastAsia="方正仿宋_GBK" w:cs="Times New Roman"/>
          <w:bCs/>
          <w:sz w:val="32"/>
          <w:szCs w:val="32"/>
          <w:highlight w:val="none"/>
        </w:rPr>
        <w:t>出让，按照不低于底价的价高者得的原则确定竞得人。</w:t>
      </w:r>
    </w:p>
    <w:p>
      <w:pPr>
        <w:widowControl/>
        <w:spacing w:line="600" w:lineRule="exact"/>
        <w:ind w:firstLine="642" w:firstLineChars="200"/>
        <w:outlineLvl w:val="0"/>
        <w:rPr>
          <w:rFonts w:hint="eastAsia" w:ascii="方正楷体_GBK" w:hAnsi="方正楷体_GBK" w:eastAsia="方正楷体_GBK" w:cs="方正楷体_GBK"/>
          <w:b/>
          <w:bCs/>
          <w:sz w:val="32"/>
          <w:szCs w:val="32"/>
          <w:highlight w:val="none"/>
        </w:rPr>
      </w:pP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四</w:t>
      </w: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出让起叫价及增价幅度</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该宗地地表国有建设用地使用权拍卖起叫价（总价）为</w:t>
      </w:r>
      <w:r>
        <w:rPr>
          <w:rFonts w:hint="eastAsia" w:ascii="Times New Roman" w:hAnsi="Times New Roman" w:eastAsia="方正仿宋_GBK" w:cs="Times New Roman"/>
          <w:b/>
          <w:bCs w:val="0"/>
          <w:sz w:val="32"/>
          <w:szCs w:val="32"/>
          <w:highlight w:val="none"/>
          <w:u w:val="single"/>
        </w:rPr>
        <w:t>19820万元（人民币）</w:t>
      </w:r>
      <w:r>
        <w:rPr>
          <w:rFonts w:hint="eastAsia" w:ascii="Times New Roman" w:hAnsi="Times New Roman" w:eastAsia="方正仿宋_GBK" w:cs="Times New Roman"/>
          <w:bCs/>
          <w:sz w:val="32"/>
          <w:szCs w:val="32"/>
          <w:highlight w:val="none"/>
        </w:rPr>
        <w:t>，增价幅度为</w:t>
      </w:r>
      <w:r>
        <w:rPr>
          <w:rFonts w:hint="eastAsia" w:ascii="Times New Roman" w:hAnsi="Times New Roman" w:eastAsia="方正仿宋_GBK" w:cs="Times New Roman"/>
          <w:b/>
          <w:bCs w:val="0"/>
          <w:sz w:val="32"/>
          <w:szCs w:val="32"/>
          <w:highlight w:val="none"/>
          <w:u w:val="single"/>
        </w:rPr>
        <w:t>50万元/次</w:t>
      </w:r>
      <w:r>
        <w:rPr>
          <w:rFonts w:hint="eastAsia" w:ascii="Times New Roman" w:hAnsi="Times New Roman" w:eastAsia="方正仿宋_GBK" w:cs="Times New Roman"/>
          <w:bCs/>
          <w:sz w:val="32"/>
          <w:szCs w:val="32"/>
          <w:highlight w:val="none"/>
        </w:rPr>
        <w:t>或该增价幅度的整数倍。</w:t>
      </w:r>
    </w:p>
    <w:p>
      <w:pPr>
        <w:widowControl/>
        <w:spacing w:line="600" w:lineRule="exact"/>
        <w:ind w:firstLine="642" w:firstLineChars="200"/>
        <w:outlineLvl w:val="0"/>
        <w:rPr>
          <w:rFonts w:hint="eastAsia" w:ascii="方正楷体_GBK" w:hAnsi="方正楷体_GBK" w:eastAsia="方正楷体_GBK" w:cs="方正楷体_GBK"/>
          <w:b/>
          <w:bCs/>
          <w:sz w:val="32"/>
          <w:szCs w:val="32"/>
          <w:highlight w:val="none"/>
        </w:rPr>
      </w:pP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五</w:t>
      </w: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竞买保证金</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该宗地竞买保证金为</w:t>
      </w:r>
      <w:r>
        <w:rPr>
          <w:rFonts w:hint="eastAsia" w:ascii="Times New Roman" w:hAnsi="Times New Roman" w:eastAsia="方正仿宋_GBK" w:cs="Times New Roman"/>
          <w:b/>
          <w:bCs w:val="0"/>
          <w:sz w:val="32"/>
          <w:szCs w:val="32"/>
          <w:highlight w:val="none"/>
          <w:u w:val="single"/>
        </w:rPr>
        <w:t>3964万元（人民币）</w:t>
      </w:r>
      <w:r>
        <w:rPr>
          <w:rFonts w:hint="eastAsia" w:ascii="Times New Roman" w:hAnsi="Times New Roman" w:eastAsia="方正仿宋_GBK" w:cs="Times New Roman"/>
          <w:bCs/>
          <w:sz w:val="32"/>
          <w:szCs w:val="32"/>
          <w:highlight w:val="none"/>
        </w:rPr>
        <w:t>。</w:t>
      </w:r>
    </w:p>
    <w:p>
      <w:pPr>
        <w:widowControl/>
        <w:spacing w:line="600" w:lineRule="exact"/>
        <w:ind w:firstLine="642" w:firstLineChars="200"/>
        <w:outlineLvl w:val="0"/>
        <w:rPr>
          <w:rFonts w:hint="eastAsia" w:ascii="方正楷体_GBK" w:hAnsi="方正楷体_GBK" w:eastAsia="方正楷体_GBK" w:cs="方正楷体_GBK"/>
          <w:b/>
          <w:bCs/>
          <w:sz w:val="32"/>
          <w:szCs w:val="32"/>
          <w:highlight w:val="none"/>
        </w:rPr>
      </w:pP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六</w:t>
      </w: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土地价款解缴渠道</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该宗地出让价款缴入临空经济区税务局。</w:t>
      </w:r>
    </w:p>
    <w:p>
      <w:pPr>
        <w:widowControl/>
        <w:spacing w:line="600" w:lineRule="exact"/>
        <w:ind w:firstLine="642" w:firstLineChars="200"/>
        <w:outlineLvl w:val="0"/>
        <w:rPr>
          <w:rFonts w:hint="eastAsia" w:ascii="方正楷体_GBK" w:hAnsi="方正楷体_GBK" w:eastAsia="方正楷体_GBK" w:cs="方正楷体_GBK"/>
          <w:b/>
          <w:bCs/>
          <w:sz w:val="32"/>
          <w:szCs w:val="32"/>
          <w:highlight w:val="none"/>
        </w:rPr>
      </w:pP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七</w:t>
      </w: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出让合同签订时间及违约责任</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竞得人须在成交后10个工作日内与资阳市临空经济区管理委员会签订《国有建设用地使用权出让合同》（以下简称《出让合同》）。竞得人逾期不签订《出让合同》的，</w:t>
      </w:r>
      <w:r>
        <w:rPr>
          <w:rFonts w:hint="eastAsia" w:ascii="Times New Roman" w:hAnsi="Times New Roman" w:eastAsia="方正仿宋_GBK" w:cs="Times New Roman"/>
          <w:bCs/>
          <w:sz w:val="32"/>
          <w:szCs w:val="32"/>
          <w:highlight w:val="none"/>
          <w:lang w:eastAsia="zh-CN"/>
        </w:rPr>
        <w:t>拍卖</w:t>
      </w:r>
      <w:r>
        <w:rPr>
          <w:rFonts w:hint="eastAsia" w:ascii="Times New Roman" w:hAnsi="Times New Roman" w:eastAsia="方正仿宋_GBK" w:cs="Times New Roman"/>
          <w:bCs/>
          <w:sz w:val="32"/>
          <w:szCs w:val="32"/>
          <w:highlight w:val="none"/>
        </w:rPr>
        <w:t>人有权终止本次交易行为，并不退还定金。</w:t>
      </w:r>
    </w:p>
    <w:p>
      <w:pPr>
        <w:widowControl/>
        <w:spacing w:line="600" w:lineRule="exact"/>
        <w:ind w:firstLine="642" w:firstLineChars="200"/>
        <w:rPr>
          <w:rFonts w:hint="eastAsia" w:ascii="Times New Roman" w:hAnsi="Times New Roman" w:eastAsia="方正仿宋_GBK" w:cs="Times New Roman"/>
          <w:bCs/>
          <w:sz w:val="32"/>
          <w:szCs w:val="32"/>
          <w:highlight w:val="none"/>
        </w:rPr>
      </w:pP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八</w:t>
      </w: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缴款方式及违约责任</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竞得人自签订《出让合同》之日起30日内至少缴纳成交总价的50%，余款按分期支付方式自签订《出让合同》之日起1年内缴清</w:t>
      </w:r>
      <w:r>
        <w:rPr>
          <w:rFonts w:hint="eastAsia" w:ascii="Times New Roman" w:hAnsi="Times New Roman" w:eastAsia="方正仿宋_GBK" w:cs="Times New Roman"/>
          <w:b/>
          <w:bCs w:val="0"/>
          <w:sz w:val="32"/>
          <w:szCs w:val="32"/>
          <w:highlight w:val="none"/>
        </w:rPr>
        <w:t>（如缴款截止日逢双休日或法定节假日，可顺延缴款日期至双休日或法定节假日结束后的第一个工作日）</w:t>
      </w:r>
      <w:r>
        <w:rPr>
          <w:rFonts w:hint="eastAsia" w:ascii="Times New Roman" w:hAnsi="Times New Roman" w:eastAsia="方正仿宋_GBK" w:cs="Times New Roman"/>
          <w:bCs/>
          <w:sz w:val="32"/>
          <w:szCs w:val="32"/>
          <w:highlight w:val="none"/>
        </w:rPr>
        <w:t>。</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分期支付国有建设用地使用权出让价款的，受让人在支付第二期及以后各期国有建设用地使用权出让价款时，须按照《出让合同》约定的第一期付款期限次日全国银行间同业拆借中心公布的贷款市场报价利率（LPR）一年期利率，向出让人支付利息。</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受让人不能按时支付国有建设用地使用权出让价款的，自滞纳之日起，每日按迟延支付款项的1‰向出让人缴纳违约金，延期付款超过60日，经出让人催交后仍不能支付国有建设用地使用权出让价款</w:t>
      </w:r>
      <w:r>
        <w:rPr>
          <w:rFonts w:hint="eastAsia" w:ascii="Times New Roman" w:hAnsi="Times New Roman" w:eastAsia="方正仿宋_GBK" w:cs="Times New Roman"/>
          <w:b/>
          <w:bCs w:val="0"/>
          <w:sz w:val="32"/>
          <w:szCs w:val="32"/>
          <w:highlight w:val="none"/>
        </w:rPr>
        <w:t>（含延迟缴纳土地价款违约金及分期付款利息）</w:t>
      </w:r>
      <w:r>
        <w:rPr>
          <w:rFonts w:hint="eastAsia" w:ascii="Times New Roman" w:hAnsi="Times New Roman" w:eastAsia="方正仿宋_GBK" w:cs="Times New Roman"/>
          <w:bCs/>
          <w:sz w:val="32"/>
          <w:szCs w:val="32"/>
          <w:highlight w:val="none"/>
        </w:rPr>
        <w:t>的，出让人有权解除合同，受让人无权要求返还定金，出让人并可请求受让人赔偿损失。竞得人已缴纳的部分国有建设用地使用权出让价款（扣除履约保证金后的价款）如数退还，不计息。竞得人对解除《成交确认书》和《出让合同》有异议的，可依法提起诉讼。</w:t>
      </w:r>
    </w:p>
    <w:p>
      <w:pPr>
        <w:widowControl/>
        <w:spacing w:line="600" w:lineRule="exact"/>
        <w:ind w:firstLine="642" w:firstLineChars="200"/>
        <w:rPr>
          <w:rFonts w:hint="eastAsia" w:ascii="方正楷体_GBK" w:hAnsi="方正楷体_GBK" w:eastAsia="方正楷体_GBK" w:cs="方正楷体_GBK"/>
          <w:b/>
          <w:bCs/>
          <w:sz w:val="32"/>
          <w:szCs w:val="32"/>
          <w:highlight w:val="none"/>
        </w:rPr>
      </w:pP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九</w:t>
      </w: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土地交付及相关约定</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受让人缴清土地出让价款并安装完成《建设项目用地信息公示牌》后，向资阳市自然资源和规划局临空经济区分局提出交地申请，市自然资源和规划局临空经济区分局于10个工作日内交付土地。若土地受让人实际缴清土地价款时间早于《出让合同》约定时间，可在实际缴清土地出让价款之日起的10个工作日内申请交付土地。</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若因受让人未按照《出让合同》约定期限缴清全部土地价款（含延迟缴纳土地价款违约金），或因受让人不按约定时限提出交地申请，导致出让人不能按照《出让合同》约定时限交付土地的，一切责任由受让人自行承担。</w:t>
      </w:r>
    </w:p>
    <w:p>
      <w:pPr>
        <w:widowControl/>
        <w:spacing w:line="600" w:lineRule="exact"/>
        <w:ind w:firstLine="642" w:firstLineChars="200"/>
        <w:rPr>
          <w:rFonts w:hint="eastAsia" w:ascii="方正楷体_GBK" w:hAnsi="方正楷体_GBK" w:eastAsia="方正楷体_GBK" w:cs="方正楷体_GBK"/>
          <w:b/>
          <w:bCs/>
          <w:sz w:val="32"/>
          <w:szCs w:val="32"/>
          <w:highlight w:val="none"/>
        </w:rPr>
      </w:pP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十</w:t>
      </w: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出让土地使用权起始日期</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该宗地的土地使用权起始日期原则上以《出让合同》约定的交付土地之日起算。因政府、政府有关部门的原因延迟交付土地的，土地使用年期自实际交付土地之日起算。</w:t>
      </w:r>
    </w:p>
    <w:p>
      <w:pPr>
        <w:widowControl/>
        <w:spacing w:line="600" w:lineRule="exact"/>
        <w:ind w:firstLine="642" w:firstLineChars="200"/>
        <w:rPr>
          <w:rFonts w:hint="eastAsia" w:ascii="方正楷体_GBK" w:hAnsi="方正楷体_GBK" w:eastAsia="方正楷体_GBK" w:cs="方正楷体_GBK"/>
          <w:b/>
          <w:bCs/>
          <w:sz w:val="32"/>
          <w:szCs w:val="32"/>
          <w:highlight w:val="none"/>
        </w:rPr>
      </w:pP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十一</w:t>
      </w: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开工、竣工时间及违约责任</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竞得人应按出让合同约定在土地交付之日起1年内开工建设，自约定开工之日起3年内竣工。</w:t>
      </w:r>
    </w:p>
    <w:p>
      <w:pPr>
        <w:widowControl/>
        <w:numPr>
          <w:ilvl w:val="0"/>
          <w:numId w:val="1"/>
        </w:numPr>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 xml:space="preserve">受让人未能按照《出让合同》约定日期或同意延建所另行约定日期开工建设的，每延期一日，应向出让人支付相当于国有建设用地使用权出让价款总额1‰的违约金，出让人有权要求受让人继续履约。 </w:t>
      </w:r>
    </w:p>
    <w:p>
      <w:pPr>
        <w:widowControl/>
        <w:numPr>
          <w:ilvl w:val="0"/>
          <w:numId w:val="1"/>
        </w:numPr>
        <w:spacing w:line="600" w:lineRule="exact"/>
        <w:ind w:left="0" w:leftChars="0"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受让人未能按照《出让合同》约定日期或同意延建所另行约定日期竣工的，每延期一日，应向出让人支付相当于国有建设用地使用权出让价款总额1‰的违约金。</w:t>
      </w:r>
    </w:p>
    <w:p>
      <w:pPr>
        <w:widowControl/>
        <w:spacing w:line="600" w:lineRule="exact"/>
        <w:ind w:firstLine="642" w:firstLineChars="200"/>
        <w:rPr>
          <w:rFonts w:hint="eastAsia" w:ascii="方正楷体_GBK" w:hAnsi="方正楷体_GBK" w:eastAsia="方正楷体_GBK" w:cs="方正楷体_GBK"/>
          <w:b/>
          <w:bCs/>
          <w:sz w:val="32"/>
          <w:szCs w:val="32"/>
          <w:highlight w:val="none"/>
        </w:rPr>
      </w:pP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十二</w:t>
      </w: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该宗地配套设施建设要求</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1. </w:t>
      </w:r>
      <w:r>
        <w:rPr>
          <w:rFonts w:hint="eastAsia" w:ascii="Times New Roman" w:hAnsi="Times New Roman" w:eastAsia="方正仿宋_GBK" w:cs="Times New Roman"/>
          <w:bCs/>
          <w:sz w:val="32"/>
          <w:szCs w:val="32"/>
          <w:highlight w:val="none"/>
        </w:rPr>
        <w:t>机动车与非机动车车位的规划设置应符合资阳市城市规划管理技术规定的有关要求。</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2. </w:t>
      </w:r>
      <w:r>
        <w:rPr>
          <w:rFonts w:hint="eastAsia" w:ascii="Times New Roman" w:hAnsi="Times New Roman" w:eastAsia="方正仿宋_GBK" w:cs="Times New Roman"/>
          <w:bCs/>
          <w:sz w:val="32"/>
          <w:szCs w:val="32"/>
          <w:highlight w:val="none"/>
        </w:rPr>
        <w:t>各类配套设施须在总平图上准确标注位置、面积、楼层、用途等相关信息，并在经济技术指标统计中明确。</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3. </w:t>
      </w:r>
      <w:r>
        <w:rPr>
          <w:rFonts w:hint="eastAsia" w:ascii="Times New Roman" w:hAnsi="Times New Roman" w:eastAsia="方正仿宋_GBK" w:cs="Times New Roman"/>
          <w:bCs/>
          <w:sz w:val="32"/>
          <w:szCs w:val="32"/>
          <w:highlight w:val="none"/>
        </w:rPr>
        <w:t>配套设施须与主体建筑同步设计、同步建设、同步验收、同步投入使用；需分期实施的，配套设施应与首期同步设计、同步建设、同步验收、同步投入使用。</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4. </w:t>
      </w:r>
      <w:r>
        <w:rPr>
          <w:rFonts w:hint="eastAsia" w:ascii="Times New Roman" w:hAnsi="Times New Roman" w:eastAsia="方正仿宋_GBK" w:cs="Times New Roman"/>
          <w:bCs/>
          <w:sz w:val="32"/>
          <w:szCs w:val="32"/>
          <w:highlight w:val="none"/>
        </w:rPr>
        <w:t>该地块地下建（构）筑物水平投影面积不大于78829㎡；地下空间总建筑面积、开发范围、开发深度及分层坐标以审定的项目设计方案为准。</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5. </w:t>
      </w:r>
      <w:r>
        <w:rPr>
          <w:rFonts w:hint="eastAsia" w:ascii="Times New Roman" w:hAnsi="Times New Roman" w:eastAsia="方正仿宋_GBK" w:cs="Times New Roman"/>
          <w:bCs/>
          <w:sz w:val="32"/>
          <w:szCs w:val="32"/>
          <w:highlight w:val="none"/>
        </w:rPr>
        <w:t>建设项目须按照资阳市城市规划管理技术规定的有关要求配建社区办公和养老服务合用房、全民健身活动场地、物管用房、公厕等住宅小区配套设施，其中社区办公服务与养老服务设施合用房应按照每100户配置60平方米以上的标准配套建设，建成后须无偿移交资阳市临空经济区管理委员会。</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6. </w:t>
      </w:r>
      <w:r>
        <w:rPr>
          <w:rFonts w:hint="eastAsia" w:ascii="Times New Roman" w:hAnsi="Times New Roman" w:eastAsia="方正仿宋_GBK" w:cs="Times New Roman"/>
          <w:bCs/>
          <w:sz w:val="32"/>
          <w:szCs w:val="32"/>
          <w:highlight w:val="none"/>
        </w:rPr>
        <w:t>地块须按照每千人口（按每户3人计算）不少于10个托位规划设计、建设婴幼儿照护服务设施及配套安全设施。建设标准应满足《托儿所、幼儿园建筑设计规范》等相关规范要求，并征得相关行业主管部门同意，建成后须无偿移交资阳市临空经济区管理委员会。</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7. </w:t>
      </w:r>
      <w:r>
        <w:rPr>
          <w:rFonts w:hint="eastAsia" w:ascii="Times New Roman" w:hAnsi="Times New Roman" w:eastAsia="方正仿宋_GBK" w:cs="Times New Roman"/>
          <w:bCs/>
          <w:sz w:val="32"/>
          <w:szCs w:val="32"/>
          <w:highlight w:val="none"/>
        </w:rPr>
        <w:t>地块须设置一处建筑面积不小于100平方米的对外公厕，按照AAA级旅游厕所标准建设，建成后须无偿移交资阳市临空经济区管理委员会。</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8. </w:t>
      </w:r>
      <w:r>
        <w:rPr>
          <w:rFonts w:hint="eastAsia" w:ascii="Times New Roman" w:hAnsi="Times New Roman" w:eastAsia="方正仿宋_GBK" w:cs="Times New Roman"/>
          <w:bCs/>
          <w:sz w:val="32"/>
          <w:szCs w:val="32"/>
          <w:highlight w:val="none"/>
        </w:rPr>
        <w:t>须无偿移交政府的社区办公和养老服务合用房、对外公厕建筑面积不纳入容积率计算。</w:t>
      </w:r>
    </w:p>
    <w:p>
      <w:pPr>
        <w:widowControl/>
        <w:spacing w:line="600" w:lineRule="exact"/>
        <w:ind w:firstLine="642" w:firstLineChars="200"/>
        <w:rPr>
          <w:rFonts w:hint="eastAsia" w:ascii="方正楷体_GBK" w:hAnsi="方正楷体_GBK" w:eastAsia="方正楷体_GBK" w:cs="方正楷体_GBK"/>
          <w:b/>
          <w:bCs/>
          <w:sz w:val="32"/>
          <w:szCs w:val="32"/>
          <w:highlight w:val="none"/>
        </w:rPr>
      </w:pP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十三</w:t>
      </w:r>
      <w:r>
        <w:rPr>
          <w:rFonts w:hint="eastAsia" w:ascii="方正楷体_GBK" w:hAnsi="方正楷体_GBK" w:eastAsia="方正楷体_GBK" w:cs="方正楷体_GBK"/>
          <w:b/>
          <w:bCs/>
          <w:sz w:val="32"/>
          <w:szCs w:val="32"/>
          <w:highlight w:val="none"/>
          <w:lang w:eastAsia="zh-CN"/>
        </w:rPr>
        <w:t>）</w:t>
      </w:r>
      <w:r>
        <w:rPr>
          <w:rFonts w:hint="eastAsia" w:ascii="方正楷体_GBK" w:hAnsi="方正楷体_GBK" w:eastAsia="方正楷体_GBK" w:cs="方正楷体_GBK"/>
          <w:b/>
          <w:bCs/>
          <w:sz w:val="32"/>
          <w:szCs w:val="32"/>
          <w:highlight w:val="none"/>
        </w:rPr>
        <w:t>其他约定事项</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1. </w:t>
      </w:r>
      <w:r>
        <w:rPr>
          <w:rFonts w:hint="eastAsia" w:ascii="Times New Roman" w:hAnsi="Times New Roman" w:eastAsia="方正仿宋_GBK" w:cs="Times New Roman"/>
          <w:bCs/>
          <w:sz w:val="32"/>
          <w:szCs w:val="32"/>
          <w:highlight w:val="none"/>
        </w:rPr>
        <w:t>该宗地按土地现状“净地”拍卖出让。竞买申请人一经提交竞买申请书即视为对该宗地现状“净地”无异议并全部接受。该宗地成交后，竞得人对现状“净地”产生异议的，一切责任由竞得人承担，出让人不承担任何责任。该宗地如有地上杆管线及其它地上建（构）筑物由竞得人予以保护或搬迁，并自行承担开发建设过程中因宗地地上状况而额外增加的成本及费用，且不得以此作为延期开竣工的理由。</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2. </w:t>
      </w:r>
      <w:r>
        <w:rPr>
          <w:rFonts w:hint="eastAsia" w:ascii="Times New Roman" w:hAnsi="Times New Roman" w:eastAsia="方正仿宋_GBK" w:cs="Times New Roman"/>
          <w:bCs/>
          <w:sz w:val="32"/>
          <w:szCs w:val="32"/>
          <w:highlight w:val="none"/>
        </w:rPr>
        <w:t>该宗地地下其他状况（包括但不限于地下管线、埋藏物、地下文物等）不详，竞得人需在设计时按国家现行相关规范要求予以保护或搬迁，并自行承担开发建设过程中因宗地地下状况而额外增加的成本及费用。该宗地场地平整及费用由竞得人自行负责。</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3. </w:t>
      </w:r>
      <w:r>
        <w:rPr>
          <w:rFonts w:hint="eastAsia" w:ascii="Times New Roman" w:hAnsi="Times New Roman" w:eastAsia="方正仿宋_GBK" w:cs="Times New Roman"/>
          <w:bCs/>
          <w:sz w:val="32"/>
          <w:szCs w:val="32"/>
          <w:highlight w:val="none"/>
        </w:rPr>
        <w:t>该宗地拍卖成交后，竞得人在开发建设时若对宗地范围外的土壤或山体造成破坏的，须负责对破坏的土壤或山体进行治理和恢复。</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4. </w:t>
      </w:r>
      <w:r>
        <w:rPr>
          <w:rFonts w:hint="eastAsia" w:ascii="Times New Roman" w:hAnsi="Times New Roman" w:eastAsia="方正仿宋_GBK" w:cs="Times New Roman"/>
          <w:bCs/>
          <w:sz w:val="32"/>
          <w:szCs w:val="32"/>
          <w:highlight w:val="none"/>
        </w:rPr>
        <w:t>该宗地如涉及地下空间建设用地使用权，在确立地下空间使用权时，需按相关政策规定缴纳地下空间使用权价款。</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5. </w:t>
      </w:r>
      <w:r>
        <w:rPr>
          <w:rFonts w:hint="eastAsia" w:ascii="Times New Roman" w:hAnsi="Times New Roman" w:eastAsia="方正仿宋_GBK" w:cs="Times New Roman"/>
          <w:bCs/>
          <w:sz w:val="32"/>
          <w:szCs w:val="32"/>
          <w:highlight w:val="none"/>
        </w:rPr>
        <w:t>该宗地其他相关要求按《LKYD—2022—009地块规划条件》（资自然资规临条（2022）字009号）文件要求执行。</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6. </w:t>
      </w:r>
      <w:r>
        <w:rPr>
          <w:rFonts w:hint="eastAsia" w:ascii="Times New Roman" w:hAnsi="Times New Roman" w:eastAsia="方正仿宋_GBK" w:cs="Times New Roman"/>
          <w:bCs/>
          <w:sz w:val="32"/>
          <w:szCs w:val="32"/>
          <w:highlight w:val="none"/>
        </w:rPr>
        <w:t>拍卖成交后，竞得人须自行出资开展成交宗地地质灾害危险性评估工作，自行到发改、环保、水利、住建等部门办理立项（备案）、环评、水保、建设等相关具体手续。</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7. </w:t>
      </w:r>
      <w:r>
        <w:rPr>
          <w:rFonts w:hint="eastAsia" w:ascii="Times New Roman" w:hAnsi="Times New Roman" w:eastAsia="方正仿宋_GBK" w:cs="Times New Roman"/>
          <w:bCs/>
          <w:sz w:val="32"/>
          <w:szCs w:val="32"/>
          <w:highlight w:val="none"/>
        </w:rPr>
        <w:t>拍卖成交后，竞得人交纳的竞买保证金自动转作受让宗地的定金，签订《出让合同》后，该定金由拍卖人按相关规定汇入各级税务部门指定国库抵作首期土地出让价款。</w:t>
      </w:r>
    </w:p>
    <w:p>
      <w:pPr>
        <w:widowControl/>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 xml:space="preserve">8. </w:t>
      </w:r>
      <w:r>
        <w:rPr>
          <w:rFonts w:hint="eastAsia" w:ascii="Times New Roman" w:hAnsi="Times New Roman" w:eastAsia="方正仿宋_GBK" w:cs="Times New Roman"/>
          <w:bCs/>
          <w:sz w:val="32"/>
          <w:szCs w:val="32"/>
          <w:highlight w:val="none"/>
        </w:rPr>
        <w:t>该宗地涉及的土地出让契税等相关税费，由竞得人按相关规定另行交纳。</w:t>
      </w:r>
    </w:p>
    <w:p>
      <w:pPr>
        <w:widowControl/>
        <w:spacing w:line="600" w:lineRule="exact"/>
        <w:ind w:firstLine="642" w:firstLineChars="200"/>
        <w:rPr>
          <w:rFonts w:ascii="方正黑体_GBK" w:hAnsi="方正黑体_GBK" w:eastAsia="方正黑体_GBK" w:cs="方正黑体_GBK"/>
          <w:b/>
          <w:color w:val="000000" w:themeColor="text1"/>
          <w:sz w:val="32"/>
          <w:szCs w:val="32"/>
          <w:highlight w:val="none"/>
        </w:rPr>
      </w:pPr>
      <w:r>
        <w:rPr>
          <w:rFonts w:hint="eastAsia" w:ascii="方正黑体_GBK" w:hAnsi="方正黑体_GBK" w:eastAsia="方正黑体_GBK" w:cs="方正黑体_GBK"/>
          <w:b/>
          <w:color w:val="000000" w:themeColor="text1"/>
          <w:sz w:val="32"/>
          <w:szCs w:val="32"/>
          <w:highlight w:val="none"/>
        </w:rPr>
        <w:t>四、竞买资格及要求</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（一）中华人民共和国境内外的法人、自然人和其他组织均可按规定申请参加，</w:t>
      </w:r>
      <w:r>
        <w:rPr>
          <w:rFonts w:hint="eastAsia" w:ascii="Times New Roman" w:hAnsi="Times New Roman" w:eastAsia="方正仿宋_GBK" w:cs="Times New Roman"/>
          <w:color w:val="000000" w:themeColor="text1"/>
          <w:sz w:val="32"/>
          <w:szCs w:val="32"/>
          <w:highlight w:val="none"/>
        </w:rPr>
        <w:t>但法律法规对申请人另有限制的除外。</w:t>
      </w:r>
      <w:r>
        <w:rPr>
          <w:rFonts w:ascii="Times New Roman" w:hAnsi="Times New Roman" w:eastAsia="方正仿宋_GBK" w:cs="Times New Roman"/>
          <w:color w:val="000000" w:themeColor="text1"/>
          <w:sz w:val="32"/>
          <w:szCs w:val="32"/>
          <w:highlight w:val="none"/>
        </w:rPr>
        <w:t>申请人可以单独申请，也可以联合申请</w:t>
      </w:r>
      <w:r>
        <w:rPr>
          <w:rFonts w:ascii="Times New Roman" w:hAnsi="Times New Roman" w:eastAsia="方正仿宋_GBK" w:cs="Times New Roman"/>
          <w:b/>
          <w:color w:val="000000" w:themeColor="text1"/>
          <w:sz w:val="32"/>
          <w:szCs w:val="32"/>
          <w:highlight w:val="none"/>
        </w:rPr>
        <w:t>（申请人竞得土地后，实施房地产开发和经营，需符合《</w:t>
      </w:r>
      <w:r>
        <w:rPr>
          <w:rFonts w:hint="eastAsia" w:ascii="Times New Roman" w:hAnsi="Times New Roman" w:eastAsia="方正仿宋_GBK" w:cs="Times New Roman"/>
          <w:b/>
          <w:color w:val="000000" w:themeColor="text1"/>
          <w:sz w:val="32"/>
          <w:szCs w:val="32"/>
          <w:highlight w:val="none"/>
        </w:rPr>
        <w:t>中华人民共和国</w:t>
      </w:r>
      <w:r>
        <w:rPr>
          <w:rFonts w:ascii="Times New Roman" w:hAnsi="Times New Roman" w:eastAsia="方正仿宋_GBK" w:cs="Times New Roman"/>
          <w:b/>
          <w:color w:val="000000" w:themeColor="text1"/>
          <w:sz w:val="32"/>
          <w:szCs w:val="32"/>
          <w:highlight w:val="none"/>
        </w:rPr>
        <w:t>城市房地产管理法》《城市房地产开发经营管理条例》的规定）</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宋体" w:hAnsi="宋体" w:eastAsia="方正仿宋_GBK"/>
          <w:sz w:val="32"/>
          <w:szCs w:val="32"/>
          <w:highlight w:val="none"/>
        </w:rPr>
      </w:pPr>
      <w:r>
        <w:rPr>
          <w:rFonts w:ascii="Times New Roman" w:hAnsi="Times New Roman" w:eastAsia="方正仿宋_GBK" w:cs="Times New Roman"/>
          <w:color w:val="000000" w:themeColor="text1"/>
          <w:sz w:val="32"/>
          <w:szCs w:val="32"/>
          <w:highlight w:val="none"/>
        </w:rPr>
        <w:t>（二）</w:t>
      </w:r>
      <w:r>
        <w:rPr>
          <w:rFonts w:ascii="Times New Roman" w:hAnsi="Times New Roman" w:eastAsia="方正仿宋_GBK" w:cs="Times New Roman"/>
          <w:sz w:val="32"/>
          <w:szCs w:val="32"/>
          <w:highlight w:val="none"/>
        </w:rPr>
        <w:t>该地块竞买保证金为</w:t>
      </w:r>
      <w:r>
        <w:rPr>
          <w:rFonts w:hint="eastAsia" w:ascii="Times New Roman" w:hAnsi="Times New Roman" w:eastAsia="方正仿宋_GBK"/>
          <w:b/>
          <w:bCs/>
          <w:sz w:val="32"/>
          <w:szCs w:val="32"/>
          <w:highlight w:val="none"/>
          <w:u w:val="single"/>
          <w:lang w:val="en-US" w:eastAsia="zh-CN"/>
        </w:rPr>
        <w:t>3964</w:t>
      </w:r>
      <w:r>
        <w:rPr>
          <w:rFonts w:ascii="Times New Roman" w:hAnsi="Times New Roman" w:eastAsia="方正仿宋_GBK" w:cs="Times New Roman"/>
          <w:b/>
          <w:bCs/>
          <w:kern w:val="0"/>
          <w:sz w:val="32"/>
          <w:szCs w:val="32"/>
          <w:highlight w:val="none"/>
          <w:u w:val="single"/>
        </w:rPr>
        <w:t>万元</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w w:val="90"/>
          <w:sz w:val="32"/>
          <w:szCs w:val="32"/>
          <w:highlight w:val="none"/>
        </w:rPr>
        <w:t>人民币</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color w:val="000000" w:themeColor="text1"/>
          <w:sz w:val="32"/>
          <w:szCs w:val="32"/>
          <w:highlight w:val="none"/>
        </w:rPr>
        <w:t>交纳竞买保证金的截止时间为</w:t>
      </w:r>
      <w:r>
        <w:rPr>
          <w:rFonts w:ascii="Times New Roman" w:hAnsi="Times New Roman" w:eastAsia="方正仿宋_GBK" w:cs="Times New Roman"/>
          <w:color w:val="000000" w:themeColor="text1"/>
          <w:sz w:val="32"/>
          <w:szCs w:val="32"/>
          <w:highlight w:val="none"/>
          <w:u w:val="single" w:color="000000"/>
        </w:rPr>
        <w:t>20</w:t>
      </w:r>
      <w:r>
        <w:rPr>
          <w:rFonts w:hint="eastAsia" w:ascii="Times New Roman" w:hAnsi="Times New Roman" w:eastAsia="方正仿宋_GBK" w:cs="Times New Roman"/>
          <w:color w:val="000000" w:themeColor="text1"/>
          <w:sz w:val="32"/>
          <w:szCs w:val="32"/>
          <w:highlight w:val="none"/>
          <w:u w:val="single" w:color="000000"/>
        </w:rPr>
        <w:t>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8</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rPr>
        <w:t>8</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16</w:t>
      </w:r>
      <w:r>
        <w:rPr>
          <w:rFonts w:ascii="Times New Roman" w:hAnsi="Times New Roman" w:eastAsia="方正仿宋_GBK" w:cs="Times New Roman"/>
          <w:color w:val="000000" w:themeColor="text1"/>
          <w:sz w:val="32"/>
          <w:szCs w:val="32"/>
          <w:highlight w:val="none"/>
        </w:rPr>
        <w:t>时（以竞买保证金到账时间为准）</w:t>
      </w:r>
      <w:r>
        <w:rPr>
          <w:rFonts w:hint="eastAsia"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color w:val="000000" w:themeColor="text1"/>
          <w:sz w:val="32"/>
          <w:szCs w:val="32"/>
          <w:highlight w:val="none"/>
        </w:rPr>
        <w:t>竞买保证金</w:t>
      </w:r>
      <w:r>
        <w:rPr>
          <w:rFonts w:hint="eastAsia" w:ascii="Times New Roman" w:hAnsi="Times New Roman" w:eastAsia="方正仿宋_GBK" w:cs="Times New Roman"/>
          <w:color w:val="000000" w:themeColor="text1"/>
          <w:sz w:val="32"/>
          <w:szCs w:val="32"/>
          <w:highlight w:val="none"/>
        </w:rPr>
        <w:t>交</w:t>
      </w:r>
      <w:r>
        <w:rPr>
          <w:rFonts w:ascii="Times New Roman" w:hAnsi="Times New Roman" w:eastAsia="方正仿宋_GBK" w:cs="Times New Roman"/>
          <w:color w:val="000000" w:themeColor="text1"/>
          <w:sz w:val="32"/>
          <w:szCs w:val="32"/>
          <w:highlight w:val="none"/>
        </w:rPr>
        <w:t>入以下</w:t>
      </w:r>
      <w:r>
        <w:rPr>
          <w:rFonts w:hint="eastAsia" w:ascii="Times New Roman" w:hAnsi="Times New Roman" w:eastAsia="方正仿宋_GBK" w:cs="Times New Roman"/>
          <w:color w:val="000000" w:themeColor="text1"/>
          <w:sz w:val="32"/>
          <w:szCs w:val="32"/>
          <w:highlight w:val="none"/>
        </w:rPr>
        <w:t>任一</w:t>
      </w:r>
      <w:r>
        <w:rPr>
          <w:rFonts w:ascii="Times New Roman" w:hAnsi="Times New Roman" w:eastAsia="方正仿宋_GBK" w:cs="Times New Roman"/>
          <w:color w:val="000000" w:themeColor="text1"/>
          <w:sz w:val="32"/>
          <w:szCs w:val="32"/>
          <w:highlight w:val="none"/>
        </w:rPr>
        <w:t>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auto"/>
          <w:spacing w:val="-6"/>
          <w:sz w:val="32"/>
          <w:szCs w:val="32"/>
          <w:highlight w:val="none"/>
        </w:rPr>
      </w:pPr>
      <w:r>
        <w:rPr>
          <w:rFonts w:ascii="Times New Roman" w:hAnsi="Times New Roman" w:eastAsia="方正仿宋_GBK" w:cs="Times New Roman"/>
          <w:color w:val="auto"/>
          <w:sz w:val="32"/>
          <w:szCs w:val="32"/>
          <w:highlight w:val="none"/>
        </w:rPr>
        <w:t xml:space="preserve">3. </w:t>
      </w:r>
      <w:r>
        <w:rPr>
          <w:rFonts w:ascii="Times New Roman" w:hAnsi="Times New Roman" w:eastAsia="方正仿宋_GBK" w:cs="Times New Roman"/>
          <w:color w:val="auto"/>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widowControl/>
        <w:spacing w:line="600" w:lineRule="exact"/>
        <w:ind w:firstLine="642" w:firstLineChars="200"/>
        <w:rPr>
          <w:rFonts w:ascii="Times New Roman" w:hAnsi="Times New Roman" w:eastAsia="方正仿宋_GBK" w:cs="Times New Roman"/>
          <w:b/>
          <w:color w:val="000000" w:themeColor="text1"/>
          <w:sz w:val="32"/>
          <w:szCs w:val="32"/>
          <w:highlight w:val="none"/>
        </w:rPr>
      </w:pPr>
      <w:r>
        <w:rPr>
          <w:rFonts w:hint="eastAsia" w:ascii="方正黑体_GBK" w:hAnsi="方正黑体_GBK" w:eastAsia="方正黑体_GBK" w:cs="方正黑体_GBK"/>
          <w:b/>
          <w:color w:val="000000" w:themeColor="text1"/>
          <w:sz w:val="32"/>
          <w:szCs w:val="32"/>
          <w:highlight w:val="none"/>
        </w:rPr>
        <w:t>五、申请和资格审查</w:t>
      </w:r>
    </w:p>
    <w:p>
      <w:pPr>
        <w:widowControl/>
        <w:spacing w:line="600" w:lineRule="exact"/>
        <w:ind w:firstLine="642" w:firstLineChars="200"/>
        <w:rPr>
          <w:rFonts w:ascii="方正楷体_GBK" w:hAnsi="方正楷体_GBK" w:eastAsia="方正楷体_GBK" w:cs="方正楷体_GBK"/>
          <w:b/>
          <w:bCs/>
          <w:color w:val="000000" w:themeColor="text1"/>
          <w:sz w:val="32"/>
          <w:szCs w:val="32"/>
          <w:highlight w:val="none"/>
        </w:rPr>
      </w:pPr>
      <w:r>
        <w:rPr>
          <w:rFonts w:hint="eastAsia" w:ascii="方正楷体_GBK" w:hAnsi="方正楷体_GBK" w:eastAsia="方正楷体_GBK" w:cs="方正楷体_GBK"/>
          <w:b/>
          <w:bCs/>
          <w:color w:val="000000" w:themeColor="text1"/>
          <w:sz w:val="32"/>
          <w:szCs w:val="32"/>
          <w:highlight w:val="none"/>
        </w:rPr>
        <w:t>（一）拍卖文件取得</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申请人需在资阳市自然资源和规划局网站（http://szrzyj.ziyang.gov.cn/）、全国公共资源交易平台（四川省·资阳市）（http://ggzyjyzx.ziyang.gov.cn）下载拍卖出让文件资料，拍卖出让文件具体包括：</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z w:val="32"/>
          <w:szCs w:val="32"/>
          <w:highlight w:val="none"/>
        </w:rPr>
        <w:t>拍卖出让公告；</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拍卖出让须知；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用地勘测定界图；</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地块规划条件；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竞买申请书（样本）；</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 xml:space="preserve">成交确认书（样本）； </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《国有建设用地使用权出让合同》（样本）；</w:t>
      </w:r>
    </w:p>
    <w:p>
      <w:pPr>
        <w:widowControl/>
        <w:spacing w:line="600" w:lineRule="exact"/>
        <w:ind w:firstLine="720" w:firstLineChars="25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pacing w:val="-16"/>
          <w:sz w:val="32"/>
          <w:szCs w:val="32"/>
          <w:highlight w:val="none"/>
        </w:rPr>
        <w:t>8</w:t>
      </w:r>
      <w:r>
        <w:rPr>
          <w:rFonts w:hint="eastAsia" w:ascii="Times New Roman" w:hAnsi="Times New Roman" w:eastAsia="方正仿宋_GBK" w:cs="Times New Roman"/>
          <w:color w:val="000000" w:themeColor="text1"/>
          <w:spacing w:val="-16"/>
          <w:sz w:val="32"/>
          <w:szCs w:val="32"/>
          <w:highlight w:val="none"/>
        </w:rPr>
        <w:t xml:space="preserve">. </w:t>
      </w:r>
      <w:r>
        <w:rPr>
          <w:rFonts w:ascii="Times New Roman" w:hAnsi="Times New Roman" w:eastAsia="方正仿宋_GBK" w:cs="Times New Roman"/>
          <w:color w:val="000000" w:themeColor="text1"/>
          <w:sz w:val="32"/>
          <w:szCs w:val="32"/>
          <w:highlight w:val="none"/>
        </w:rPr>
        <w:t>国有建设用地使用权出让合同（示范文本）部分条款释义；</w:t>
      </w:r>
    </w:p>
    <w:p>
      <w:pPr>
        <w:widowControl/>
        <w:spacing w:line="600" w:lineRule="exact"/>
        <w:ind w:firstLine="720" w:firstLineChars="250"/>
        <w:rPr>
          <w:rFonts w:ascii="Times New Roman" w:hAnsi="Times New Roman" w:eastAsia="方正仿宋_GBK" w:cs="Times New Roman"/>
          <w:color w:val="000000" w:themeColor="text1"/>
          <w:spacing w:val="-16"/>
          <w:sz w:val="32"/>
          <w:szCs w:val="32"/>
          <w:highlight w:val="none"/>
        </w:rPr>
      </w:pPr>
      <w:r>
        <w:rPr>
          <w:rFonts w:ascii="Times New Roman" w:hAnsi="Times New Roman" w:eastAsia="方正仿宋_GBK" w:cs="Times New Roman"/>
          <w:color w:val="000000" w:themeColor="text1"/>
          <w:spacing w:val="-16"/>
          <w:sz w:val="32"/>
          <w:szCs w:val="32"/>
          <w:highlight w:val="none"/>
        </w:rPr>
        <w:t>9.  建设项目用地信息公示牌（模板）；</w:t>
      </w:r>
    </w:p>
    <w:p>
      <w:pPr>
        <w:widowControl/>
        <w:spacing w:line="600" w:lineRule="exact"/>
        <w:ind w:firstLine="720" w:firstLineChars="250"/>
        <w:rPr>
          <w:rFonts w:ascii="Times New Roman" w:hAnsi="Times New Roman" w:eastAsia="方正仿宋_GBK" w:cs="Times New Roman"/>
          <w:color w:val="000000" w:themeColor="text1"/>
          <w:spacing w:val="-16"/>
          <w:sz w:val="32"/>
          <w:szCs w:val="32"/>
          <w:highlight w:val="none"/>
        </w:rPr>
      </w:pPr>
      <w:r>
        <w:rPr>
          <w:rFonts w:ascii="Times New Roman" w:hAnsi="Times New Roman" w:eastAsia="方正仿宋_GBK" w:cs="Times New Roman"/>
          <w:color w:val="000000" w:themeColor="text1"/>
          <w:spacing w:val="-16"/>
          <w:sz w:val="32"/>
          <w:szCs w:val="32"/>
          <w:highlight w:val="none"/>
        </w:rPr>
        <w:t>10. 建设项目动工申报书（样本）；</w:t>
      </w:r>
    </w:p>
    <w:p>
      <w:pPr>
        <w:widowControl/>
        <w:spacing w:line="600" w:lineRule="exact"/>
        <w:ind w:firstLine="720" w:firstLineChars="25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pacing w:val="-16"/>
          <w:sz w:val="32"/>
          <w:szCs w:val="32"/>
          <w:highlight w:val="none"/>
        </w:rPr>
        <w:t>11. 建设项目竣工申报书（样本）。</w:t>
      </w:r>
    </w:p>
    <w:p>
      <w:pPr>
        <w:widowControl/>
        <w:spacing w:line="600" w:lineRule="exact"/>
        <w:ind w:firstLine="642" w:firstLineChars="200"/>
        <w:rPr>
          <w:rFonts w:ascii="Times New Roman" w:hAnsi="Times New Roman" w:eastAsia="方正仿宋_GBK" w:cs="Times New Roman"/>
          <w:b/>
          <w:color w:val="000000" w:themeColor="text1"/>
          <w:sz w:val="32"/>
          <w:szCs w:val="32"/>
          <w:highlight w:val="none"/>
        </w:rPr>
      </w:pPr>
      <w:r>
        <w:rPr>
          <w:rFonts w:hint="eastAsia" w:ascii="方正楷体_GBK" w:hAnsi="方正楷体_GBK" w:eastAsia="方正楷体_GBK" w:cs="方正楷体_GBK"/>
          <w:b/>
          <w:color w:val="000000" w:themeColor="text1"/>
          <w:sz w:val="32"/>
          <w:szCs w:val="32"/>
          <w:highlight w:val="none"/>
        </w:rPr>
        <w:t>（二）提交申请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申请人可于</w:t>
      </w:r>
      <w:r>
        <w:rPr>
          <w:rFonts w:ascii="Times New Roman" w:hAnsi="Times New Roman" w:eastAsia="方正仿宋_GBK" w:cs="Times New Roman"/>
          <w:color w:val="000000" w:themeColor="text1"/>
          <w:sz w:val="32"/>
          <w:szCs w:val="32"/>
          <w:highlight w:val="none"/>
          <w:u w:val="single" w:color="000000"/>
        </w:rPr>
        <w:t>20</w:t>
      </w:r>
      <w:r>
        <w:rPr>
          <w:rFonts w:hint="eastAsia" w:ascii="Times New Roman" w:hAnsi="Times New Roman" w:eastAsia="方正仿宋_GBK" w:cs="Times New Roman"/>
          <w:color w:val="000000" w:themeColor="text1"/>
          <w:sz w:val="32"/>
          <w:szCs w:val="32"/>
          <w:highlight w:val="none"/>
          <w:u w:val="single" w:color="000000"/>
        </w:rPr>
        <w:t>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color="000000"/>
          <w:lang w:val="en-US" w:eastAsia="zh-CN"/>
        </w:rPr>
        <w:t>7</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18</w:t>
      </w:r>
      <w:r>
        <w:rPr>
          <w:rFonts w:ascii="Times New Roman" w:hAnsi="Times New Roman" w:eastAsia="方正仿宋_GBK" w:cs="Times New Roman"/>
          <w:color w:val="000000" w:themeColor="text1"/>
          <w:sz w:val="32"/>
          <w:szCs w:val="32"/>
          <w:highlight w:val="none"/>
        </w:rPr>
        <w:t>日至</w:t>
      </w:r>
      <w:r>
        <w:rPr>
          <w:rFonts w:ascii="Times New Roman" w:hAnsi="Times New Roman" w:eastAsia="方正仿宋_GBK" w:cs="Times New Roman"/>
          <w:color w:val="000000" w:themeColor="text1"/>
          <w:sz w:val="32"/>
          <w:szCs w:val="32"/>
          <w:highlight w:val="none"/>
          <w:u w:val="single" w:color="000000"/>
        </w:rPr>
        <w:t>20</w:t>
      </w:r>
      <w:r>
        <w:rPr>
          <w:rFonts w:hint="eastAsia" w:ascii="Times New Roman" w:hAnsi="Times New Roman" w:eastAsia="方正仿宋_GBK" w:cs="Times New Roman"/>
          <w:color w:val="000000" w:themeColor="text1"/>
          <w:sz w:val="32"/>
          <w:szCs w:val="32"/>
          <w:highlight w:val="none"/>
          <w:u w:val="single" w:color="000000"/>
        </w:rPr>
        <w:t>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color="000000"/>
          <w:lang w:val="en-US" w:eastAsia="zh-CN"/>
        </w:rPr>
        <w:t>8</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rPr>
        <w:t>8</w:t>
      </w:r>
      <w:r>
        <w:rPr>
          <w:rFonts w:ascii="Times New Roman" w:hAnsi="Times New Roman" w:eastAsia="方正仿宋_GBK" w:cs="Times New Roman"/>
          <w:color w:val="000000" w:themeColor="text1"/>
          <w:sz w:val="32"/>
          <w:szCs w:val="32"/>
          <w:highlight w:val="none"/>
        </w:rPr>
        <w:t>日</w:t>
      </w:r>
      <w:r>
        <w:rPr>
          <w:rFonts w:hint="eastAsia" w:ascii="Times New Roman" w:hAnsi="Times New Roman" w:eastAsia="方正仿宋_GBK" w:cs="Times New Roman"/>
          <w:color w:val="000000" w:themeColor="text1"/>
          <w:sz w:val="32"/>
          <w:szCs w:val="32"/>
          <w:highlight w:val="none"/>
          <w:u w:val="single"/>
        </w:rPr>
        <w:t>16:30</w:t>
      </w:r>
      <w:r>
        <w:rPr>
          <w:rFonts w:hint="eastAsia" w:ascii="Times New Roman" w:hAnsi="Times New Roman" w:eastAsia="方正仿宋_GBK" w:cs="Times New Roman"/>
          <w:color w:val="000000" w:themeColor="text1"/>
          <w:sz w:val="32"/>
          <w:szCs w:val="32"/>
          <w:highlight w:val="none"/>
        </w:rPr>
        <w:t>时止</w:t>
      </w:r>
      <w:r>
        <w:rPr>
          <w:rFonts w:ascii="Times New Roman" w:hAnsi="Times New Roman" w:eastAsia="方正仿宋_GBK" w:cs="Times New Roman"/>
          <w:color w:val="000000" w:themeColor="text1"/>
          <w:sz w:val="32"/>
          <w:szCs w:val="32"/>
          <w:highlight w:val="none"/>
        </w:rPr>
        <w:t>（法定节假日除外），到</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提交书面申请。申请所需文件包括：</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r>
        <w:rPr>
          <w:rFonts w:hint="eastAsia"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（3）如公司成立股东会【或董事会】则须出具</w:t>
      </w:r>
      <w:r>
        <w:rPr>
          <w:rFonts w:hint="eastAsia" w:ascii="Times New Roman" w:hAnsi="Times New Roman" w:eastAsia="方正仿宋_GBK" w:cs="Times New Roman"/>
          <w:color w:val="000000" w:themeColor="text1"/>
          <w:sz w:val="32"/>
          <w:szCs w:val="32"/>
          <w:highlight w:val="none"/>
          <w:lang w:eastAsia="zh-CN"/>
        </w:rPr>
        <w:t>所</w:t>
      </w:r>
      <w:r>
        <w:rPr>
          <w:rFonts w:ascii="Times New Roman" w:hAnsi="Times New Roman" w:eastAsia="方正仿宋_GBK" w:cs="Times New Roman"/>
          <w:color w:val="000000" w:themeColor="text1"/>
          <w:sz w:val="32"/>
          <w:szCs w:val="32"/>
          <w:highlight w:val="none"/>
        </w:rPr>
        <w:t>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4</w:t>
      </w:r>
      <w:r>
        <w:rPr>
          <w:rFonts w:ascii="Times New Roman" w:hAnsi="Times New Roman" w:eastAsia="方正仿宋_GBK" w:cs="Times New Roman"/>
          <w:color w:val="000000" w:themeColor="text1"/>
          <w:sz w:val="32"/>
          <w:szCs w:val="32"/>
          <w:highlight w:val="none"/>
        </w:rPr>
        <w:t>）法定代表人的有效身份证明文件；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5</w:t>
      </w:r>
      <w:r>
        <w:rPr>
          <w:rFonts w:ascii="Times New Roman" w:hAnsi="Times New Roman" w:eastAsia="方正仿宋_GBK" w:cs="Times New Roman"/>
          <w:color w:val="000000" w:themeColor="text1"/>
          <w:sz w:val="32"/>
          <w:szCs w:val="32"/>
          <w:highlight w:val="none"/>
        </w:rPr>
        <w:t>）申请人委托他人办理的，应提交授权委托书及委托代理人的有效身份证明文件；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6</w:t>
      </w:r>
      <w:r>
        <w:rPr>
          <w:rFonts w:ascii="Times New Roman" w:hAnsi="Times New Roman" w:eastAsia="方正仿宋_GBK" w:cs="Times New Roman"/>
          <w:color w:val="000000" w:themeColor="text1"/>
          <w:sz w:val="32"/>
          <w:szCs w:val="32"/>
          <w:highlight w:val="none"/>
        </w:rPr>
        <w:t>）竞买保证金交纳凭证；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7</w:t>
      </w:r>
      <w:r>
        <w:rPr>
          <w:rFonts w:ascii="Times New Roman" w:hAnsi="Times New Roman" w:eastAsia="方正仿宋_GBK" w:cs="Times New Roman"/>
          <w:color w:val="000000" w:themeColor="text1"/>
          <w:sz w:val="32"/>
          <w:szCs w:val="32"/>
          <w:highlight w:val="none"/>
        </w:rPr>
        <w:t>）</w:t>
      </w:r>
      <w:r>
        <w:rPr>
          <w:rFonts w:hint="eastAsia" w:ascii="方正楷体_GBK" w:hAnsi="方正楷体_GBK" w:eastAsia="方正楷体_GBK" w:cs="方正楷体_GBK"/>
          <w:b/>
          <w:bCs/>
          <w:color w:val="000000" w:themeColor="text1"/>
          <w:sz w:val="32"/>
          <w:szCs w:val="32"/>
          <w:highlight w:val="none"/>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rPr>
        <w:t>在</w:t>
      </w:r>
      <w:r>
        <w:rPr>
          <w:rFonts w:hint="eastAsia" w:ascii="方正楷体_GBK" w:hAnsi="方正楷体_GBK" w:eastAsia="方正楷体_GBK" w:cs="方正楷体_GBK"/>
          <w:b/>
          <w:bCs/>
          <w:color w:val="000000" w:themeColor="text1"/>
          <w:sz w:val="32"/>
          <w:szCs w:val="32"/>
          <w:highlight w:val="none"/>
        </w:rPr>
        <w:t>提交竞买</w:t>
      </w:r>
      <w:r>
        <w:rPr>
          <w:rFonts w:hint="eastAsia" w:ascii="方正楷体_GBK" w:hAnsi="方正楷体_GBK" w:eastAsia="方正楷体_GBK" w:cs="方正楷体_GBK"/>
          <w:b/>
          <w:bCs/>
          <w:color w:val="000000" w:themeColor="text1"/>
          <w:sz w:val="32"/>
          <w:szCs w:val="32"/>
          <w:highlight w:val="none"/>
          <w:shd w:val="clear" w:color="auto" w:fill="FFFFFF"/>
        </w:rPr>
        <w:t>申请书时予以明确，并</w:t>
      </w:r>
      <w:r>
        <w:rPr>
          <w:rFonts w:hint="eastAsia" w:ascii="方正楷体_GBK" w:hAnsi="方正楷体_GBK" w:eastAsia="方正楷体_GBK" w:cs="方正楷体_GBK"/>
          <w:b/>
          <w:bCs/>
          <w:color w:val="000000" w:themeColor="text1"/>
          <w:sz w:val="32"/>
          <w:szCs w:val="32"/>
          <w:highlight w:val="none"/>
        </w:rPr>
        <w:t>提供网上申报资料</w:t>
      </w:r>
      <w:r>
        <w:rPr>
          <w:rFonts w:hint="eastAsia" w:ascii="方正楷体_GBK" w:hAnsi="方正楷体_GBK" w:eastAsia="方正楷体_GBK" w:cs="方正楷体_GBK"/>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8</w:t>
      </w:r>
      <w:r>
        <w:rPr>
          <w:rFonts w:ascii="Times New Roman" w:hAnsi="Times New Roman" w:eastAsia="方正仿宋_GBK" w:cs="Times New Roman"/>
          <w:color w:val="000000" w:themeColor="text1"/>
          <w:sz w:val="32"/>
          <w:szCs w:val="32"/>
          <w:highlight w:val="none"/>
        </w:rPr>
        <w:t>）拍卖文件规定需要提交的其他文件。</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hint="eastAsia" w:ascii="方正楷体_GBK" w:hAnsi="方正楷体_GBK" w:eastAsia="方正楷体_GBK" w:cs="方正楷体_GBK"/>
          <w:b/>
          <w:bCs/>
          <w:color w:val="000000" w:themeColor="text1"/>
          <w:sz w:val="32"/>
          <w:szCs w:val="32"/>
          <w:highlight w:val="none"/>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rPr>
        <w:t>在</w:t>
      </w:r>
      <w:r>
        <w:rPr>
          <w:rFonts w:hint="eastAsia" w:ascii="方正楷体_GBK" w:hAnsi="方正楷体_GBK" w:eastAsia="方正楷体_GBK" w:cs="方正楷体_GBK"/>
          <w:b/>
          <w:bCs/>
          <w:color w:val="000000" w:themeColor="text1"/>
          <w:sz w:val="32"/>
          <w:szCs w:val="32"/>
          <w:highlight w:val="none"/>
        </w:rPr>
        <w:t>提交竞买</w:t>
      </w:r>
      <w:r>
        <w:rPr>
          <w:rFonts w:hint="eastAsia" w:ascii="方正楷体_GBK" w:hAnsi="方正楷体_GBK" w:eastAsia="方正楷体_GBK" w:cs="方正楷体_GBK"/>
          <w:b/>
          <w:bCs/>
          <w:color w:val="000000" w:themeColor="text1"/>
          <w:sz w:val="32"/>
          <w:szCs w:val="32"/>
          <w:highlight w:val="none"/>
          <w:shd w:val="clear" w:color="auto" w:fill="FFFFFF"/>
        </w:rPr>
        <w:t>申请书时予以明确，并</w:t>
      </w:r>
      <w:r>
        <w:rPr>
          <w:rFonts w:hint="eastAsia" w:ascii="方正楷体_GBK" w:hAnsi="方正楷体_GBK" w:eastAsia="方正楷体_GBK" w:cs="方正楷体_GBK"/>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6</w:t>
      </w:r>
      <w:r>
        <w:rPr>
          <w:rFonts w:ascii="Times New Roman" w:hAnsi="Times New Roman" w:eastAsia="方正仿宋_GBK" w:cs="Times New Roman"/>
          <w:color w:val="000000" w:themeColor="text1"/>
          <w:sz w:val="32"/>
          <w:szCs w:val="32"/>
          <w:highlight w:val="none"/>
        </w:rPr>
        <w:t>）拍卖文件规定需要提交的其他文件。</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hint="eastAsia" w:ascii="方正楷体_GBK" w:hAnsi="方正楷体_GBK" w:eastAsia="方正楷体_GBK" w:cs="方正楷体_GBK"/>
          <w:b/>
          <w:bCs/>
          <w:color w:val="000000" w:themeColor="text1"/>
          <w:sz w:val="32"/>
          <w:szCs w:val="32"/>
          <w:highlight w:val="none"/>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rPr>
        <w:t>在</w:t>
      </w:r>
      <w:r>
        <w:rPr>
          <w:rFonts w:hint="eastAsia" w:ascii="方正楷体_GBK" w:hAnsi="方正楷体_GBK" w:eastAsia="方正楷体_GBK" w:cs="方正楷体_GBK"/>
          <w:b/>
          <w:bCs/>
          <w:color w:val="000000" w:themeColor="text1"/>
          <w:sz w:val="32"/>
          <w:szCs w:val="32"/>
          <w:highlight w:val="none"/>
        </w:rPr>
        <w:t>提交竞买</w:t>
      </w:r>
      <w:r>
        <w:rPr>
          <w:rFonts w:hint="eastAsia" w:ascii="方正楷体_GBK" w:hAnsi="方正楷体_GBK" w:eastAsia="方正楷体_GBK" w:cs="方正楷体_GBK"/>
          <w:b/>
          <w:bCs/>
          <w:color w:val="000000" w:themeColor="text1"/>
          <w:sz w:val="32"/>
          <w:szCs w:val="32"/>
          <w:highlight w:val="none"/>
          <w:shd w:val="clear" w:color="auto" w:fill="FFFFFF"/>
        </w:rPr>
        <w:t>申请书时予以明确，并</w:t>
      </w:r>
      <w:r>
        <w:rPr>
          <w:rFonts w:hint="eastAsia" w:ascii="方正楷体_GBK" w:hAnsi="方正楷体_GBK" w:eastAsia="方正楷体_GBK" w:cs="方正楷体_GBK"/>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7</w:t>
      </w:r>
      <w:r>
        <w:rPr>
          <w:rFonts w:ascii="Times New Roman" w:hAnsi="Times New Roman" w:eastAsia="方正仿宋_GBK" w:cs="Times New Roman"/>
          <w:color w:val="000000" w:themeColor="text1"/>
          <w:sz w:val="32"/>
          <w:szCs w:val="32"/>
          <w:highlight w:val="none"/>
        </w:rPr>
        <w:t>）拍卖文件规定需要提交的其他文件。</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hint="eastAsia" w:ascii="方正楷体_GBK" w:hAnsi="方正楷体_GBK" w:eastAsia="方正楷体_GBK" w:cs="方正楷体_GBK"/>
          <w:b/>
          <w:bCs/>
          <w:color w:val="000000" w:themeColor="text1"/>
          <w:sz w:val="32"/>
          <w:szCs w:val="32"/>
          <w:highlight w:val="none"/>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rPr>
        <w:t>在</w:t>
      </w:r>
      <w:r>
        <w:rPr>
          <w:rFonts w:hint="eastAsia" w:ascii="方正楷体_GBK" w:hAnsi="方正楷体_GBK" w:eastAsia="方正楷体_GBK" w:cs="方正楷体_GBK"/>
          <w:b/>
          <w:bCs/>
          <w:color w:val="000000" w:themeColor="text1"/>
          <w:sz w:val="32"/>
          <w:szCs w:val="32"/>
          <w:highlight w:val="none"/>
        </w:rPr>
        <w:t>提交竞买</w:t>
      </w:r>
      <w:r>
        <w:rPr>
          <w:rFonts w:hint="eastAsia" w:ascii="方正楷体_GBK" w:hAnsi="方正楷体_GBK" w:eastAsia="方正楷体_GBK" w:cs="方正楷体_GBK"/>
          <w:b/>
          <w:bCs/>
          <w:color w:val="000000" w:themeColor="text1"/>
          <w:sz w:val="32"/>
          <w:szCs w:val="32"/>
          <w:highlight w:val="none"/>
          <w:shd w:val="clear" w:color="auto" w:fill="FFFFFF"/>
        </w:rPr>
        <w:t>申请书时予以明确，并</w:t>
      </w:r>
      <w:r>
        <w:rPr>
          <w:rFonts w:hint="eastAsia" w:ascii="方正楷体_GBK" w:hAnsi="方正楷体_GBK" w:eastAsia="方正楷体_GBK" w:cs="方正楷体_GBK"/>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6</w:t>
      </w:r>
      <w:r>
        <w:rPr>
          <w:rFonts w:ascii="Times New Roman" w:hAnsi="Times New Roman" w:eastAsia="方正仿宋_GBK" w:cs="Times New Roman"/>
          <w:color w:val="000000" w:themeColor="text1"/>
          <w:sz w:val="32"/>
          <w:szCs w:val="32"/>
          <w:highlight w:val="none"/>
        </w:rPr>
        <w:t>）拍卖文件规定需要提交的其他文件。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hint="eastAsia"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r>
        <w:rPr>
          <w:rFonts w:hint="eastAsia"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hint="eastAsia" w:ascii="方正楷体_GBK" w:hAnsi="方正楷体_GBK" w:eastAsia="方正楷体_GBK" w:cs="方正楷体_GBK"/>
          <w:b/>
          <w:bCs/>
          <w:color w:val="000000" w:themeColor="text1"/>
          <w:sz w:val="32"/>
          <w:szCs w:val="32"/>
          <w:highlight w:val="none"/>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rPr>
        <w:t>在</w:t>
      </w:r>
      <w:r>
        <w:rPr>
          <w:rFonts w:hint="eastAsia" w:ascii="方正楷体_GBK" w:hAnsi="方正楷体_GBK" w:eastAsia="方正楷体_GBK" w:cs="方正楷体_GBK"/>
          <w:b/>
          <w:bCs/>
          <w:color w:val="000000" w:themeColor="text1"/>
          <w:sz w:val="32"/>
          <w:szCs w:val="32"/>
          <w:highlight w:val="none"/>
        </w:rPr>
        <w:t>提交竞买</w:t>
      </w:r>
      <w:r>
        <w:rPr>
          <w:rFonts w:hint="eastAsia" w:ascii="方正楷体_GBK" w:hAnsi="方正楷体_GBK" w:eastAsia="方正楷体_GBK" w:cs="方正楷体_GBK"/>
          <w:b/>
          <w:bCs/>
          <w:color w:val="000000" w:themeColor="text1"/>
          <w:sz w:val="32"/>
          <w:szCs w:val="32"/>
          <w:highlight w:val="none"/>
          <w:shd w:val="clear" w:color="auto" w:fill="FFFFFF"/>
        </w:rPr>
        <w:t>申请书时予以明确，并</w:t>
      </w:r>
      <w:r>
        <w:rPr>
          <w:rFonts w:hint="eastAsia" w:ascii="方正楷体_GBK" w:hAnsi="方正楷体_GBK" w:eastAsia="方正楷体_GBK" w:cs="方正楷体_GBK"/>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7</w:t>
      </w:r>
      <w:r>
        <w:rPr>
          <w:rFonts w:ascii="Times New Roman" w:hAnsi="Times New Roman" w:eastAsia="方正仿宋_GBK" w:cs="Times New Roman"/>
          <w:color w:val="000000" w:themeColor="text1"/>
          <w:sz w:val="32"/>
          <w:szCs w:val="32"/>
          <w:highlight w:val="none"/>
        </w:rPr>
        <w:t>）拍卖文件规定需要提交的其他文件。</w:t>
      </w:r>
    </w:p>
    <w:p>
      <w:pPr>
        <w:widowControl/>
        <w:spacing w:line="600" w:lineRule="exact"/>
        <w:ind w:firstLine="642" w:firstLineChars="200"/>
        <w:rPr>
          <w:rFonts w:ascii="方正楷体_GBK" w:hAnsi="方正楷体_GBK" w:eastAsia="方正楷体_GBK" w:cs="方正楷体_GBK"/>
          <w:b/>
          <w:color w:val="000000" w:themeColor="text1"/>
          <w:sz w:val="32"/>
          <w:szCs w:val="32"/>
          <w:highlight w:val="none"/>
        </w:rPr>
      </w:pPr>
      <w:r>
        <w:rPr>
          <w:rFonts w:hint="eastAsia" w:ascii="方正楷体_GBK" w:hAnsi="方正楷体_GBK" w:eastAsia="方正楷体_GBK" w:cs="方正楷体_GBK"/>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负责对拍卖出让公告规定的时间内收到的申请进行审查。按规定交纳竞买保证金，通过资格审查的，方能取得竞买资格。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2" w:firstLineChars="200"/>
        <w:rPr>
          <w:rFonts w:ascii="方正楷体_GBK" w:hAnsi="方正楷体_GBK" w:eastAsia="方正楷体_GBK" w:cs="方正楷体_GBK"/>
          <w:b/>
          <w:color w:val="000000" w:themeColor="text1"/>
          <w:sz w:val="32"/>
          <w:szCs w:val="32"/>
          <w:highlight w:val="none"/>
        </w:rPr>
      </w:pPr>
      <w:r>
        <w:rPr>
          <w:rFonts w:hint="eastAsia" w:ascii="方正楷体_GBK" w:hAnsi="方正楷体_GBK" w:eastAsia="方正楷体_GBK" w:cs="方正楷体_GBK"/>
          <w:b/>
          <w:color w:val="000000" w:themeColor="text1"/>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经审查，申请人按规定交纳竞买保证金、具备申请条件的，</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将在</w:t>
      </w:r>
      <w:r>
        <w:rPr>
          <w:rFonts w:ascii="Times New Roman" w:hAnsi="Times New Roman" w:eastAsia="方正仿宋_GBK" w:cs="Times New Roman"/>
          <w:color w:val="000000" w:themeColor="text1"/>
          <w:sz w:val="32"/>
          <w:szCs w:val="32"/>
          <w:highlight w:val="none"/>
          <w:u w:val="single" w:color="000000"/>
        </w:rPr>
        <w:t>20</w:t>
      </w:r>
      <w:r>
        <w:rPr>
          <w:rFonts w:hint="eastAsia" w:ascii="Times New Roman" w:hAnsi="Times New Roman" w:eastAsia="方正仿宋_GBK" w:cs="Times New Roman"/>
          <w:color w:val="000000" w:themeColor="text1"/>
          <w:sz w:val="32"/>
          <w:szCs w:val="32"/>
          <w:highlight w:val="none"/>
          <w:u w:val="single" w:color="000000"/>
        </w:rPr>
        <w:t>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8</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rPr>
        <w:t>8</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 xml:space="preserve">17 </w:t>
      </w:r>
      <w:r>
        <w:rPr>
          <w:rFonts w:ascii="Times New Roman" w:hAnsi="Times New Roman" w:eastAsia="方正仿宋_GBK" w:cs="Times New Roman"/>
          <w:color w:val="000000" w:themeColor="text1"/>
          <w:sz w:val="32"/>
          <w:szCs w:val="32"/>
          <w:highlight w:val="none"/>
        </w:rPr>
        <w:t>时</w:t>
      </w:r>
      <w:r>
        <w:rPr>
          <w:rFonts w:hint="eastAsia" w:ascii="Times New Roman" w:hAnsi="Times New Roman" w:eastAsia="方正仿宋_GBK" w:cs="Times New Roman"/>
          <w:color w:val="000000" w:themeColor="text1"/>
          <w:sz w:val="32"/>
          <w:szCs w:val="32"/>
          <w:highlight w:val="none"/>
          <w:u w:val="single"/>
        </w:rPr>
        <w:t>0</w:t>
      </w:r>
      <w:r>
        <w:rPr>
          <w:rFonts w:ascii="Times New Roman" w:hAnsi="Times New Roman" w:eastAsia="方正仿宋_GBK" w:cs="Times New Roman"/>
          <w:color w:val="000000" w:themeColor="text1"/>
          <w:sz w:val="32"/>
          <w:szCs w:val="32"/>
          <w:highlight w:val="none"/>
          <w:u w:val="single"/>
        </w:rPr>
        <w:t>0</w:t>
      </w:r>
      <w:r>
        <w:rPr>
          <w:rFonts w:ascii="Times New Roman" w:hAnsi="Times New Roman" w:eastAsia="方正仿宋_GBK" w:cs="Times New Roman"/>
          <w:color w:val="000000" w:themeColor="text1"/>
          <w:sz w:val="32"/>
          <w:szCs w:val="32"/>
          <w:highlight w:val="none"/>
        </w:rPr>
        <w:t>分前发给《竞买资格确认书》，</w:t>
      </w:r>
      <w:r>
        <w:rPr>
          <w:rFonts w:hint="eastAsia" w:ascii="Times New Roman" w:hAnsi="Times New Roman" w:eastAsia="方正仿宋_GBK" w:cs="Times New Roman"/>
          <w:color w:val="000000" w:themeColor="text1"/>
          <w:sz w:val="32"/>
          <w:szCs w:val="32"/>
          <w:highlight w:val="none"/>
        </w:rPr>
        <w:t>告之于</w:t>
      </w:r>
      <w:r>
        <w:rPr>
          <w:rFonts w:ascii="Times New Roman" w:hAnsi="Times New Roman" w:eastAsia="方正仿宋_GBK" w:cs="Times New Roman"/>
          <w:color w:val="000000" w:themeColor="text1"/>
          <w:sz w:val="32"/>
          <w:szCs w:val="32"/>
          <w:highlight w:val="none"/>
          <w:u w:val="single" w:color="000000"/>
        </w:rPr>
        <w:t>20</w:t>
      </w:r>
      <w:r>
        <w:rPr>
          <w:rFonts w:hint="eastAsia" w:ascii="Times New Roman" w:hAnsi="Times New Roman" w:eastAsia="方正仿宋_GBK" w:cs="Times New Roman"/>
          <w:color w:val="000000" w:themeColor="text1"/>
          <w:sz w:val="32"/>
          <w:szCs w:val="32"/>
          <w:highlight w:val="none"/>
          <w:u w:val="single" w:color="000000"/>
        </w:rPr>
        <w:t>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color="000000"/>
          <w:lang w:val="en-US" w:eastAsia="zh-CN"/>
        </w:rPr>
        <w:t>8</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rPr>
        <w:t>9</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 xml:space="preserve">10 </w:t>
      </w:r>
      <w:r>
        <w:rPr>
          <w:rFonts w:ascii="Times New Roman" w:hAnsi="Times New Roman" w:eastAsia="方正仿宋_GBK" w:cs="Times New Roman"/>
          <w:color w:val="000000" w:themeColor="text1"/>
          <w:sz w:val="32"/>
          <w:szCs w:val="32"/>
          <w:highlight w:val="none"/>
        </w:rPr>
        <w:t>时在资阳市</w:t>
      </w:r>
      <w:r>
        <w:rPr>
          <w:rFonts w:hint="eastAsia" w:ascii="Times New Roman" w:hAnsi="Times New Roman" w:eastAsia="方正仿宋_GBK" w:cs="Times New Roman"/>
          <w:color w:val="000000" w:themeColor="text1"/>
          <w:sz w:val="32"/>
          <w:szCs w:val="32"/>
          <w:highlight w:val="none"/>
        </w:rPr>
        <w:t>政府政务服务和</w:t>
      </w:r>
      <w:r>
        <w:rPr>
          <w:rFonts w:ascii="Times New Roman" w:hAnsi="Times New Roman" w:eastAsia="方正仿宋_GBK" w:cs="Times New Roman"/>
          <w:color w:val="000000" w:themeColor="text1"/>
          <w:sz w:val="32"/>
          <w:szCs w:val="32"/>
          <w:highlight w:val="none"/>
        </w:rPr>
        <w:t>公共资源交易</w:t>
      </w:r>
      <w:r>
        <w:rPr>
          <w:rFonts w:hint="eastAsia" w:ascii="Times New Roman" w:hAnsi="Times New Roman" w:eastAsia="方正仿宋_GBK" w:cs="Times New Roman"/>
          <w:color w:val="000000" w:themeColor="text1"/>
          <w:sz w:val="32"/>
          <w:szCs w:val="32"/>
          <w:highlight w:val="none"/>
        </w:rPr>
        <w:t>服务</w:t>
      </w:r>
      <w:r>
        <w:rPr>
          <w:rFonts w:ascii="Times New Roman" w:hAnsi="Times New Roman" w:eastAsia="方正仿宋_GBK" w:cs="Times New Roman"/>
          <w:color w:val="000000" w:themeColor="text1"/>
          <w:sz w:val="32"/>
          <w:szCs w:val="32"/>
          <w:highlight w:val="none"/>
        </w:rPr>
        <w:t>中心（</w:t>
      </w:r>
      <w:r>
        <w:rPr>
          <w:rFonts w:ascii="Times New Roman" w:hAnsi="Times New Roman" w:eastAsia="方正仿宋_GBK" w:cs="Times New Roman"/>
          <w:color w:val="000000" w:themeColor="text1"/>
          <w:sz w:val="32"/>
          <w:szCs w:val="32"/>
          <w:highlight w:val="none"/>
          <w:shd w:val="clear" w:color="auto" w:fill="FFFFFF"/>
        </w:rPr>
        <w:t>资阳市雁江区河埝街12号2楼</w:t>
      </w:r>
      <w:r>
        <w:rPr>
          <w:rFonts w:ascii="Times New Roman" w:hAnsi="Times New Roman" w:eastAsia="方正仿宋_GBK" w:cs="Times New Roman"/>
          <w:color w:val="000000" w:themeColor="text1"/>
          <w:sz w:val="32"/>
          <w:szCs w:val="32"/>
          <w:highlight w:val="none"/>
        </w:rPr>
        <w:t>）参加拍卖会</w:t>
      </w:r>
      <w:r>
        <w:rPr>
          <w:rFonts w:hint="eastAsia" w:ascii="Times New Roman" w:hAnsi="Times New Roman" w:eastAsia="方正仿宋_GBK" w:cs="Times New Roman"/>
          <w:color w:val="000000" w:themeColor="text1"/>
          <w:sz w:val="32"/>
          <w:szCs w:val="32"/>
          <w:highlight w:val="none"/>
        </w:rPr>
        <w:t>及现场</w:t>
      </w:r>
      <w:r>
        <w:rPr>
          <w:rFonts w:ascii="Times New Roman" w:hAnsi="Times New Roman" w:eastAsia="方正仿宋_GBK" w:cs="Times New Roman"/>
          <w:color w:val="000000" w:themeColor="text1"/>
          <w:sz w:val="32"/>
          <w:szCs w:val="32"/>
          <w:highlight w:val="none"/>
        </w:rPr>
        <w:t>领取竞买</w:t>
      </w:r>
      <w:r>
        <w:rPr>
          <w:rFonts w:hint="eastAsia" w:ascii="Times New Roman" w:hAnsi="Times New Roman" w:eastAsia="方正仿宋_GBK" w:cs="Times New Roman"/>
          <w:color w:val="000000" w:themeColor="text1"/>
          <w:sz w:val="32"/>
          <w:szCs w:val="32"/>
          <w:highlight w:val="none"/>
        </w:rPr>
        <w:t>号</w:t>
      </w:r>
      <w:r>
        <w:rPr>
          <w:rFonts w:ascii="Times New Roman" w:hAnsi="Times New Roman" w:eastAsia="方正仿宋_GBK" w:cs="Times New Roman"/>
          <w:color w:val="000000" w:themeColor="text1"/>
          <w:sz w:val="32"/>
          <w:szCs w:val="32"/>
          <w:highlight w:val="none"/>
        </w:rPr>
        <w:t>牌。</w:t>
      </w:r>
    </w:p>
    <w:p>
      <w:pPr>
        <w:widowControl/>
        <w:spacing w:line="600" w:lineRule="exact"/>
        <w:ind w:firstLine="642" w:firstLineChars="200"/>
        <w:rPr>
          <w:rFonts w:ascii="Times New Roman" w:hAnsi="Times New Roman" w:eastAsia="方正仿宋_GBK" w:cs="Times New Roman"/>
          <w:b/>
          <w:color w:val="000000" w:themeColor="text1"/>
          <w:sz w:val="32"/>
          <w:szCs w:val="32"/>
          <w:highlight w:val="none"/>
        </w:rPr>
      </w:pPr>
      <w:r>
        <w:rPr>
          <w:rFonts w:hint="eastAsia" w:ascii="方正楷体_GBK" w:hAnsi="方正楷体_GBK" w:eastAsia="方正楷体_GBK" w:cs="方正楷体_GBK"/>
          <w:b/>
          <w:color w:val="000000" w:themeColor="text1"/>
          <w:sz w:val="32"/>
          <w:szCs w:val="32"/>
          <w:highlight w:val="none"/>
        </w:rPr>
        <w:t>（五）答疑及现场踏勘</w:t>
      </w:r>
    </w:p>
    <w:p>
      <w:pPr>
        <w:autoSpaceDE w:val="0"/>
        <w:spacing w:line="600" w:lineRule="exact"/>
        <w:ind w:firstLine="642" w:firstLineChars="200"/>
        <w:rPr>
          <w:b/>
          <w:bCs/>
          <w:highlight w:val="none"/>
        </w:rPr>
      </w:pPr>
      <w:r>
        <w:rPr>
          <w:rFonts w:hint="eastAsia" w:ascii="Times New Roman" w:hAnsi="Times New Roman" w:eastAsia="方正仿宋_GBK" w:cs="Times New Roman"/>
          <w:b/>
          <w:bCs/>
          <w:sz w:val="32"/>
          <w:szCs w:val="32"/>
          <w:highlight w:val="none"/>
        </w:rPr>
        <w:t>本次出让地块竞买申请人必须（务必）在拍卖出让活动开始前以书面（口头）方式申请由出让方（人）组织现场踏勘。拍卖出让活动结束后，竞买申请人未进行现场踏勘或未向出让方提出疑问的，视为对拍卖出让文件无异议，并接受拍卖出让地块现状“净地”条件，因此产生的一切责任由竞买申请人承担，出让方（人）不承担任何责任。</w:t>
      </w:r>
    </w:p>
    <w:p>
      <w:pPr>
        <w:widowControl/>
        <w:spacing w:line="600" w:lineRule="exact"/>
        <w:ind w:firstLine="640" w:firstLineChars="200"/>
        <w:rPr>
          <w:rFonts w:ascii="Times New Roman" w:hAnsi="Times New Roman" w:eastAsia="方正仿宋_GBK" w:cs="Times New Roman"/>
          <w:bCs/>
          <w:color w:val="000000" w:themeColor="text1"/>
          <w:sz w:val="32"/>
          <w:szCs w:val="32"/>
          <w:highlight w:val="none"/>
        </w:rPr>
      </w:pPr>
      <w:r>
        <w:rPr>
          <w:rFonts w:ascii="Times New Roman" w:hAnsi="Times New Roman" w:eastAsia="方正黑体_GBK" w:cs="Times New Roman"/>
          <w:bCs/>
          <w:color w:val="000000" w:themeColor="text1"/>
          <w:sz w:val="32"/>
          <w:szCs w:val="32"/>
          <w:highlight w:val="none"/>
        </w:rPr>
        <w:t>六、该地块拍卖会定于</w:t>
      </w:r>
      <w:r>
        <w:rPr>
          <w:rFonts w:ascii="Times New Roman" w:hAnsi="Times New Roman" w:eastAsia="方正黑体_GBK" w:cs="Times New Roman"/>
          <w:bCs/>
          <w:color w:val="000000" w:themeColor="text1"/>
          <w:sz w:val="32"/>
          <w:szCs w:val="32"/>
          <w:highlight w:val="none"/>
          <w:u w:val="single"/>
        </w:rPr>
        <w:t>2022</w:t>
      </w:r>
      <w:r>
        <w:rPr>
          <w:rFonts w:ascii="Times New Roman" w:hAnsi="Times New Roman" w:eastAsia="方正黑体_GBK" w:cs="Times New Roman"/>
          <w:bCs/>
          <w:color w:val="000000" w:themeColor="text1"/>
          <w:sz w:val="32"/>
          <w:szCs w:val="32"/>
          <w:highlight w:val="none"/>
        </w:rPr>
        <w:t xml:space="preserve">年 </w:t>
      </w:r>
      <w:r>
        <w:rPr>
          <w:rFonts w:hint="eastAsia" w:ascii="Times New Roman" w:hAnsi="Times New Roman" w:eastAsia="方正黑体_GBK" w:cs="Times New Roman"/>
          <w:bCs/>
          <w:color w:val="000000" w:themeColor="text1"/>
          <w:sz w:val="32"/>
          <w:szCs w:val="32"/>
          <w:highlight w:val="none"/>
          <w:u w:val="single"/>
          <w:lang w:val="en-US" w:eastAsia="zh-CN"/>
        </w:rPr>
        <w:t>8</w:t>
      </w:r>
      <w:r>
        <w:rPr>
          <w:rFonts w:ascii="Times New Roman" w:hAnsi="Times New Roman" w:eastAsia="方正黑体_GBK" w:cs="Times New Roman"/>
          <w:bCs/>
          <w:color w:val="000000" w:themeColor="text1"/>
          <w:sz w:val="32"/>
          <w:szCs w:val="32"/>
          <w:highlight w:val="none"/>
        </w:rPr>
        <w:t>月</w:t>
      </w:r>
      <w:r>
        <w:rPr>
          <w:rFonts w:hint="eastAsia" w:ascii="Times New Roman" w:hAnsi="Times New Roman" w:eastAsia="方正黑体_GBK" w:cs="Times New Roman"/>
          <w:bCs/>
          <w:color w:val="000000" w:themeColor="text1"/>
          <w:sz w:val="32"/>
          <w:szCs w:val="32"/>
          <w:highlight w:val="none"/>
          <w:u w:val="single"/>
        </w:rPr>
        <w:t>9</w:t>
      </w:r>
      <w:r>
        <w:rPr>
          <w:rFonts w:ascii="Times New Roman" w:hAnsi="Times New Roman" w:eastAsia="方正黑体_GBK" w:cs="Times New Roman"/>
          <w:bCs/>
          <w:color w:val="000000" w:themeColor="text1"/>
          <w:sz w:val="32"/>
          <w:szCs w:val="32"/>
          <w:highlight w:val="none"/>
        </w:rPr>
        <w:t>日上午</w:t>
      </w:r>
      <w:r>
        <w:rPr>
          <w:rFonts w:ascii="Times New Roman" w:hAnsi="Times New Roman" w:eastAsia="方正黑体_GBK" w:cs="Times New Roman"/>
          <w:bCs/>
          <w:color w:val="000000" w:themeColor="text1"/>
          <w:sz w:val="32"/>
          <w:szCs w:val="32"/>
          <w:highlight w:val="none"/>
          <w:u w:val="single"/>
        </w:rPr>
        <w:t>10</w:t>
      </w:r>
      <w:r>
        <w:rPr>
          <w:rFonts w:ascii="Times New Roman" w:hAnsi="Times New Roman" w:eastAsia="方正黑体_GBK" w:cs="Times New Roman"/>
          <w:bCs/>
          <w:color w:val="000000" w:themeColor="text1"/>
          <w:sz w:val="32"/>
          <w:szCs w:val="32"/>
          <w:highlight w:val="none"/>
        </w:rPr>
        <w:t>时</w:t>
      </w:r>
      <w:r>
        <w:rPr>
          <w:rFonts w:ascii="Times New Roman" w:hAnsi="Times New Roman" w:eastAsia="方正黑体_GBK" w:cs="Times New Roman"/>
          <w:bCs/>
          <w:color w:val="000000" w:themeColor="text1"/>
          <w:sz w:val="32"/>
          <w:szCs w:val="32"/>
          <w:highlight w:val="none"/>
          <w:u w:val="single"/>
        </w:rPr>
        <w:t>00</w:t>
      </w:r>
      <w:r>
        <w:rPr>
          <w:rFonts w:ascii="Times New Roman" w:hAnsi="Times New Roman" w:eastAsia="方正黑体_GBK" w:cs="Times New Roman"/>
          <w:bCs/>
          <w:color w:val="000000" w:themeColor="text1"/>
          <w:sz w:val="32"/>
          <w:szCs w:val="32"/>
          <w:highlight w:val="none"/>
        </w:rPr>
        <w:t>分在</w:t>
      </w:r>
      <w:r>
        <w:rPr>
          <w:rFonts w:ascii="Times New Roman" w:hAnsi="Times New Roman" w:eastAsia="方正黑体_GBK" w:cs="Times New Roman"/>
          <w:bCs/>
          <w:color w:val="000000" w:themeColor="text1"/>
          <w:sz w:val="32"/>
          <w:szCs w:val="32"/>
          <w:highlight w:val="none"/>
          <w:u w:val="single"/>
        </w:rPr>
        <w:t>资阳市政府政务服务和公共资源交易服务中心</w:t>
      </w:r>
      <w:r>
        <w:rPr>
          <w:rFonts w:ascii="Times New Roman" w:hAnsi="Times New Roman" w:eastAsia="方正黑体_GBK" w:cs="Times New Roman"/>
          <w:bCs/>
          <w:color w:val="000000" w:themeColor="text1"/>
          <w:sz w:val="32"/>
          <w:szCs w:val="32"/>
          <w:highlight w:val="none"/>
        </w:rPr>
        <w:t>举行。</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rPr>
      </w:pPr>
      <w:r>
        <w:rPr>
          <w:rFonts w:hint="eastAsia" w:ascii="方正黑体_GBK" w:hAnsi="方正黑体_GBK" w:eastAsia="方正黑体_GBK" w:cs="方正黑体_GBK"/>
          <w:color w:val="000000" w:themeColor="text1"/>
          <w:sz w:val="32"/>
          <w:szCs w:val="32"/>
          <w:highlight w:val="none"/>
        </w:rPr>
        <w:t>七、拍卖程序</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方正楷体_GBK" w:hAnsi="方正楷体_GBK" w:eastAsia="方正楷体_GBK" w:cs="方正楷体_GBK"/>
          <w:color w:val="000000" w:themeColor="text1"/>
          <w:sz w:val="32"/>
          <w:szCs w:val="32"/>
          <w:highlight w:val="none"/>
        </w:rPr>
        <w:t>（一）拍卖会程序</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1．主持人宣布拍卖会开始；</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2．拍卖主持人、记录员就位；</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3．拍卖主持人点算竞买人并宣布竞买人到场情况；</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4．拍卖主持人介绍拍卖地块的位置、面积、用途、使用年限、规划指标要求、建设时间等；</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5．出让人现场将密封的拍卖底价单交给拍卖主持人，拍卖主持人现场开启密封件</w:t>
      </w:r>
      <w:r>
        <w:rPr>
          <w:rFonts w:hint="eastAsia"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拍卖主持人宣布拍卖宗地的起叫价、增价规则和增价幅度，并明确提示是否设有底价。在拍卖过程中，拍卖主持人可根据现场情况调整增价幅度；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6．拍卖主持人报出起叫价，宣布竞价开始；</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7．竞买人举牌应价或者口头报价；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8．拍卖主持人确认该竞买人应价或者口头报价后继续竞价；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9．拍卖主持人连续三次宣布同一应价或口头报价而没有人再应价或出价，且该价格不低于底价的，拍卖主持人落槌表示拍卖成交，并宣布最高应价者为竞得人。成交结果对拍卖人、竞得人和出让人均具有法律效力。最高应价或口头报价低于底价的，拍卖主持人宣布终止拍卖。</w:t>
      </w:r>
    </w:p>
    <w:p>
      <w:pPr>
        <w:widowControl/>
        <w:spacing w:line="600" w:lineRule="exact"/>
        <w:ind w:firstLine="640" w:firstLineChars="200"/>
        <w:rPr>
          <w:rFonts w:ascii="方正仿宋_GBK" w:hAnsi="方正仿宋_GBK" w:eastAsia="方正仿宋_GBK" w:cs="方正仿宋_GBK"/>
          <w:color w:val="000000" w:themeColor="text1"/>
          <w:sz w:val="32"/>
          <w:szCs w:val="32"/>
          <w:highlight w:val="none"/>
        </w:rPr>
      </w:pPr>
      <w:r>
        <w:rPr>
          <w:rFonts w:hint="eastAsia" w:ascii="方正仿宋_GBK" w:hAnsi="方正仿宋_GBK" w:eastAsia="方正仿宋_GBK" w:cs="方正仿宋_GBK"/>
          <w:color w:val="000000" w:themeColor="text1"/>
          <w:sz w:val="32"/>
          <w:szCs w:val="32"/>
          <w:highlight w:val="none"/>
        </w:rPr>
        <w:t>（二）确定竞得人后，拍卖人与竞得人当场签订《成交确认书》，拍卖人或竞得人不按规定签订《成交确认书》的，应当承担法律责任。竞得人拒绝签订《成交确认书》也不能对抗拍卖成交结果的法律效力。</w:t>
      </w:r>
    </w:p>
    <w:p>
      <w:pPr>
        <w:widowControl/>
        <w:spacing w:line="600" w:lineRule="exact"/>
        <w:ind w:firstLine="640" w:firstLineChars="200"/>
        <w:rPr>
          <w:rFonts w:ascii="方正仿宋_GBK" w:hAnsi="方正仿宋_GBK" w:eastAsia="方正仿宋_GBK" w:cs="方正仿宋_GBK"/>
          <w:color w:val="000000" w:themeColor="text1"/>
          <w:sz w:val="32"/>
          <w:szCs w:val="32"/>
          <w:highlight w:val="none"/>
        </w:rPr>
      </w:pPr>
      <w:r>
        <w:rPr>
          <w:rFonts w:hint="eastAsia" w:ascii="方正仿宋_GBK" w:hAnsi="方正仿宋_GBK" w:eastAsia="方正仿宋_GBK" w:cs="方正仿宋_GBK"/>
          <w:color w:val="000000" w:themeColor="text1"/>
          <w:sz w:val="32"/>
          <w:szCs w:val="32"/>
          <w:highlight w:val="none"/>
        </w:rPr>
        <w:t>（三）竞得人必</w:t>
      </w:r>
      <w:r>
        <w:rPr>
          <w:rFonts w:ascii="Times New Roman" w:hAnsi="Times New Roman" w:eastAsia="方正仿宋_GBK" w:cs="Times New Roman"/>
          <w:color w:val="000000" w:themeColor="text1"/>
          <w:sz w:val="32"/>
          <w:szCs w:val="32"/>
          <w:highlight w:val="none"/>
        </w:rPr>
        <w:t>须在土地拍卖成交后</w:t>
      </w:r>
      <w:r>
        <w:rPr>
          <w:rFonts w:ascii="Times New Roman" w:hAnsi="Times New Roman" w:eastAsia="方正仿宋_GBK" w:cs="Times New Roman"/>
          <w:b/>
          <w:bCs/>
          <w:color w:val="000000" w:themeColor="text1"/>
          <w:sz w:val="32"/>
          <w:szCs w:val="32"/>
          <w:highlight w:val="none"/>
        </w:rPr>
        <w:t>10</w:t>
      </w:r>
      <w:r>
        <w:rPr>
          <w:rFonts w:ascii="Times New Roman" w:hAnsi="Times New Roman" w:eastAsia="方正仿宋_GBK" w:cs="Times New Roman"/>
          <w:color w:val="000000" w:themeColor="text1"/>
          <w:sz w:val="32"/>
          <w:szCs w:val="32"/>
          <w:highlight w:val="none"/>
        </w:rPr>
        <w:t>个工作日内依据《成交确认书》的约定与出让人签订《出让合同》。</w:t>
      </w:r>
    </w:p>
    <w:p>
      <w:pPr>
        <w:widowControl/>
        <w:spacing w:line="600" w:lineRule="exact"/>
        <w:ind w:firstLine="640" w:firstLineChars="200"/>
        <w:rPr>
          <w:rFonts w:ascii="方正仿宋_GBK" w:hAnsi="方正仿宋_GBK" w:eastAsia="方正仿宋_GBK" w:cs="方正仿宋_GBK"/>
          <w:color w:val="000000" w:themeColor="text1"/>
          <w:sz w:val="32"/>
          <w:szCs w:val="32"/>
          <w:highlight w:val="none"/>
        </w:rPr>
      </w:pPr>
      <w:r>
        <w:rPr>
          <w:rFonts w:hint="eastAsia" w:ascii="方正仿宋_GBK" w:hAnsi="方正仿宋_GBK" w:eastAsia="方正仿宋_GBK" w:cs="方正仿宋_GBK"/>
          <w:color w:val="000000" w:themeColor="text1"/>
          <w:sz w:val="32"/>
          <w:szCs w:val="32"/>
          <w:highlight w:val="none"/>
        </w:rPr>
        <w:t>（四）出让结果公示</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color w:val="000000" w:themeColor="text1"/>
          <w:sz w:val="32"/>
          <w:szCs w:val="32"/>
          <w:highlight w:val="none"/>
        </w:rPr>
        <w:t>拍卖人</w:t>
      </w:r>
      <w:r>
        <w:rPr>
          <w:rFonts w:ascii="Times New Roman" w:hAnsi="Times New Roman" w:eastAsia="方正仿宋_GBK" w:cs="Times New Roman"/>
          <w:color w:val="000000" w:themeColor="text1"/>
          <w:sz w:val="32"/>
          <w:szCs w:val="32"/>
          <w:highlight w:val="none"/>
        </w:rPr>
        <w:t>将在此次国有建设用地使用权拍卖会结束后</w:t>
      </w:r>
      <w:r>
        <w:rPr>
          <w:rFonts w:hint="eastAsia" w:ascii="Times New Roman" w:hAnsi="Times New Roman" w:eastAsia="方正仿宋_GBK" w:cs="Times New Roman"/>
          <w:b/>
          <w:bCs/>
          <w:color w:val="000000" w:themeColor="text1"/>
          <w:sz w:val="32"/>
          <w:szCs w:val="32"/>
          <w:highlight w:val="none"/>
          <w:u w:val="single"/>
        </w:rPr>
        <w:t>5</w:t>
      </w:r>
      <w:r>
        <w:rPr>
          <w:rFonts w:ascii="Times New Roman" w:hAnsi="Times New Roman" w:eastAsia="方正仿宋_GBK" w:cs="Times New Roman"/>
          <w:color w:val="000000" w:themeColor="text1"/>
          <w:sz w:val="32"/>
          <w:szCs w:val="32"/>
          <w:highlight w:val="none"/>
        </w:rPr>
        <w:t>个工作日内，在</w:t>
      </w:r>
      <w:r>
        <w:rPr>
          <w:rFonts w:hint="eastAsia" w:ascii="Times New Roman" w:hAnsi="Times New Roman" w:eastAsia="方正仿宋_GBK" w:cs="Times New Roman"/>
          <w:color w:val="000000" w:themeColor="text1"/>
          <w:sz w:val="32"/>
          <w:szCs w:val="32"/>
          <w:highlight w:val="none"/>
          <w:u w:val="single"/>
        </w:rPr>
        <w:t>交易平台</w:t>
      </w:r>
      <w:r>
        <w:rPr>
          <w:rFonts w:hint="eastAsia" w:ascii="Times New Roman" w:hAnsi="Times New Roman" w:eastAsia="方正仿宋_GBK" w:cs="Times New Roman"/>
          <w:color w:val="000000" w:themeColor="text1"/>
          <w:sz w:val="32"/>
          <w:szCs w:val="32"/>
          <w:highlight w:val="none"/>
        </w:rPr>
        <w:t>及</w:t>
      </w:r>
      <w:r>
        <w:rPr>
          <w:rFonts w:ascii="Times New Roman" w:hAnsi="Times New Roman" w:eastAsia="方正仿宋_GBK" w:cs="Times New Roman"/>
          <w:color w:val="000000" w:themeColor="text1"/>
          <w:sz w:val="32"/>
          <w:szCs w:val="32"/>
          <w:highlight w:val="none"/>
          <w:u w:val="single"/>
        </w:rPr>
        <w:t>中国土地市场网</w:t>
      </w:r>
      <w:r>
        <w:rPr>
          <w:rFonts w:ascii="Times New Roman" w:hAnsi="Times New Roman" w:eastAsia="方正仿宋_GBK" w:cs="Times New Roman"/>
          <w:color w:val="000000" w:themeColor="text1"/>
          <w:sz w:val="32"/>
          <w:szCs w:val="32"/>
          <w:highlight w:val="none"/>
        </w:rPr>
        <w:t>上</w:t>
      </w:r>
      <w:r>
        <w:rPr>
          <w:rFonts w:hint="eastAsia" w:ascii="Times New Roman" w:hAnsi="Times New Roman" w:eastAsia="方正仿宋_GBK" w:cs="Times New Roman"/>
          <w:color w:val="000000" w:themeColor="text1"/>
          <w:sz w:val="32"/>
          <w:szCs w:val="32"/>
          <w:highlight w:val="none"/>
        </w:rPr>
        <w:t>公示</w:t>
      </w:r>
      <w:r>
        <w:rPr>
          <w:rFonts w:ascii="Times New Roman" w:hAnsi="Times New Roman" w:eastAsia="方正仿宋_GBK" w:cs="Times New Roman"/>
          <w:color w:val="000000" w:themeColor="text1"/>
          <w:sz w:val="32"/>
          <w:szCs w:val="32"/>
          <w:highlight w:val="none"/>
        </w:rPr>
        <w:t>本次国有建设用地使用权拍卖出让结果</w:t>
      </w:r>
      <w:r>
        <w:rPr>
          <w:rFonts w:hint="eastAsia"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方正黑体_GBK" w:hAnsi="方正黑体_GBK" w:eastAsia="方正黑体_GBK" w:cs="方正黑体_GBK"/>
          <w:bCs/>
          <w:color w:val="000000" w:themeColor="text1"/>
          <w:sz w:val="32"/>
          <w:szCs w:val="32"/>
          <w:highlight w:val="none"/>
        </w:rPr>
      </w:pPr>
      <w:r>
        <w:rPr>
          <w:rFonts w:hint="eastAsia" w:ascii="方正黑体_GBK" w:hAnsi="方正黑体_GBK" w:eastAsia="方正黑体_GBK" w:cs="方正黑体_GBK"/>
          <w:bCs/>
          <w:color w:val="000000" w:themeColor="text1"/>
          <w:sz w:val="32"/>
          <w:szCs w:val="32"/>
          <w:highlight w:val="none"/>
        </w:rPr>
        <w:t>八、竞价规则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（一）本次拍卖采用</w:t>
      </w:r>
      <w:r>
        <w:rPr>
          <w:rFonts w:ascii="Times New Roman" w:hAnsi="Times New Roman" w:eastAsia="方正仿宋_GBK" w:cs="Times New Roman"/>
          <w:b/>
          <w:color w:val="000000" w:themeColor="text1"/>
          <w:sz w:val="32"/>
          <w:szCs w:val="32"/>
          <w:highlight w:val="none"/>
        </w:rPr>
        <w:t>有底价拍卖出让</w:t>
      </w:r>
      <w:r>
        <w:rPr>
          <w:rFonts w:ascii="Times New Roman" w:hAnsi="Times New Roman" w:eastAsia="方正仿宋_GBK" w:cs="Times New Roman"/>
          <w:color w:val="000000" w:themeColor="text1"/>
          <w:sz w:val="32"/>
          <w:szCs w:val="32"/>
          <w:highlight w:val="none"/>
        </w:rPr>
        <w:t>，按</w:t>
      </w:r>
      <w:r>
        <w:rPr>
          <w:rFonts w:hint="eastAsia" w:ascii="Times New Roman" w:hAnsi="Times New Roman" w:eastAsia="方正仿宋_GBK" w:cs="Times New Roman"/>
          <w:color w:val="000000" w:themeColor="text1"/>
          <w:sz w:val="32"/>
          <w:szCs w:val="32"/>
          <w:highlight w:val="none"/>
        </w:rPr>
        <w:t>照不低于底价的</w:t>
      </w:r>
      <w:r>
        <w:rPr>
          <w:rFonts w:ascii="Times New Roman" w:hAnsi="Times New Roman" w:eastAsia="方正仿宋_GBK" w:cs="Times New Roman"/>
          <w:color w:val="000000" w:themeColor="text1"/>
          <w:sz w:val="32"/>
          <w:szCs w:val="32"/>
          <w:highlight w:val="none"/>
        </w:rPr>
        <w:t>价高者得的原则确定竞得人。</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（二）竞买人以举牌方式应价，也可以</w:t>
      </w:r>
      <w:r>
        <w:rPr>
          <w:rFonts w:hint="eastAsia" w:ascii="Times New Roman" w:hAnsi="Times New Roman" w:eastAsia="方正仿宋_GBK" w:cs="Times New Roman"/>
          <w:color w:val="000000" w:themeColor="text1"/>
          <w:sz w:val="32"/>
          <w:szCs w:val="32"/>
          <w:highlight w:val="none"/>
        </w:rPr>
        <w:t>口头</w:t>
      </w:r>
      <w:r>
        <w:rPr>
          <w:rFonts w:ascii="Times New Roman" w:hAnsi="Times New Roman" w:eastAsia="方正仿宋_GBK" w:cs="Times New Roman"/>
          <w:color w:val="000000" w:themeColor="text1"/>
          <w:sz w:val="32"/>
          <w:szCs w:val="32"/>
          <w:highlight w:val="none"/>
        </w:rPr>
        <w:t>报价，但</w:t>
      </w:r>
      <w:r>
        <w:rPr>
          <w:rFonts w:hint="eastAsia" w:ascii="Times New Roman" w:hAnsi="Times New Roman" w:eastAsia="方正仿宋_GBK" w:cs="Times New Roman"/>
          <w:color w:val="000000" w:themeColor="text1"/>
          <w:sz w:val="32"/>
          <w:szCs w:val="32"/>
          <w:highlight w:val="none"/>
        </w:rPr>
        <w:t>口头</w:t>
      </w:r>
      <w:r>
        <w:rPr>
          <w:rFonts w:ascii="Times New Roman" w:hAnsi="Times New Roman" w:eastAsia="方正仿宋_GBK" w:cs="Times New Roman"/>
          <w:color w:val="000000" w:themeColor="text1"/>
          <w:sz w:val="32"/>
          <w:szCs w:val="32"/>
          <w:highlight w:val="none"/>
        </w:rPr>
        <w:t>报价的加价幅度不得小于拍卖主持人宣布或调整的增价幅度。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（三）本次拍卖设有底价，最后应价未达到底价时，拍卖主持人终止拍卖活动。</w:t>
      </w:r>
    </w:p>
    <w:p>
      <w:pPr>
        <w:widowControl/>
        <w:spacing w:line="600" w:lineRule="exact"/>
        <w:ind w:firstLine="640" w:firstLineChars="200"/>
        <w:rPr>
          <w:rFonts w:ascii="方正黑体_GBK" w:hAnsi="方正黑体_GBK" w:eastAsia="方正黑体_GBK" w:cs="方正黑体_GBK"/>
          <w:bCs/>
          <w:color w:val="000000" w:themeColor="text1"/>
          <w:sz w:val="32"/>
          <w:szCs w:val="32"/>
          <w:highlight w:val="none"/>
        </w:rPr>
      </w:pPr>
      <w:r>
        <w:rPr>
          <w:rFonts w:hint="eastAsia" w:ascii="方正黑体_GBK" w:hAnsi="方正黑体_GBK" w:eastAsia="方正黑体_GBK" w:cs="方正黑体_GBK"/>
          <w:bCs/>
          <w:color w:val="000000" w:themeColor="text1"/>
          <w:sz w:val="32"/>
          <w:szCs w:val="32"/>
          <w:highlight w:val="none"/>
        </w:rPr>
        <w:t>九、注意事项</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（一）申请人须全面阅读有关拍卖文件，如有疑问可以在拍卖会开始日以前用书面或口头方式向</w:t>
      </w:r>
      <w:r>
        <w:rPr>
          <w:rFonts w:hint="eastAsia"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color w:val="000000" w:themeColor="text1"/>
          <w:sz w:val="32"/>
          <w:szCs w:val="32"/>
          <w:highlight w:val="none"/>
        </w:rPr>
        <w:t>咨询。申请一经受理确认后，即视为竞买人对拍卖文件及</w:t>
      </w:r>
      <w:r>
        <w:rPr>
          <w:rFonts w:hint="eastAsia" w:ascii="Times New Roman" w:hAnsi="Times New Roman" w:eastAsia="方正仿宋_GBK" w:cs="Times New Roman"/>
          <w:color w:val="000000" w:themeColor="text1"/>
          <w:sz w:val="32"/>
          <w:szCs w:val="32"/>
          <w:highlight w:val="none"/>
        </w:rPr>
        <w:t>宗</w:t>
      </w:r>
      <w:r>
        <w:rPr>
          <w:rFonts w:ascii="Times New Roman" w:hAnsi="Times New Roman" w:eastAsia="方正仿宋_GBK" w:cs="Times New Roman"/>
          <w:color w:val="000000" w:themeColor="text1"/>
          <w:sz w:val="32"/>
          <w:szCs w:val="32"/>
          <w:highlight w:val="none"/>
        </w:rPr>
        <w:t>地现状无异议并全部接受，并对有关承诺承担法律责任。</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（二）</w:t>
      </w:r>
      <w:r>
        <w:rPr>
          <w:rFonts w:hint="eastAsia" w:ascii="方正楷体_GBK" w:hAnsi="方正楷体_GBK" w:eastAsia="方正楷体_GBK" w:cs="方正楷体_GBK"/>
          <w:b/>
          <w:bCs/>
          <w:color w:val="000000" w:themeColor="text1"/>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color w:val="000000" w:themeColor="text1"/>
          <w:sz w:val="32"/>
          <w:szCs w:val="32"/>
          <w:highlight w:val="none"/>
        </w:rPr>
        <w:t>出让人可以根据拍卖出让结果与竞得人签订《出让合同》，在竞得人按约定办理完新公司注册登记手续后，再与新公司签订《国有建设用地使用权出让合同变更协议》或直接</w:t>
      </w:r>
      <w:r>
        <w:rPr>
          <w:rFonts w:hint="eastAsia" w:ascii="Times New Roman" w:hAnsi="Times New Roman" w:eastAsia="方正仿宋_GBK" w:cs="Times New Roman"/>
          <w:color w:val="000000" w:themeColor="text1"/>
          <w:sz w:val="32"/>
          <w:szCs w:val="32"/>
          <w:highlight w:val="none"/>
        </w:rPr>
        <w:t>与合同签订时间内正式注册成立的</w:t>
      </w:r>
      <w:r>
        <w:rPr>
          <w:rFonts w:ascii="Times New Roman" w:hAnsi="Times New Roman" w:eastAsia="方正仿宋_GBK" w:cs="Times New Roman"/>
          <w:color w:val="000000" w:themeColor="text1"/>
          <w:sz w:val="32"/>
          <w:szCs w:val="32"/>
          <w:highlight w:val="none"/>
        </w:rPr>
        <w:t>新公司签订《出让合同》。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（三）竞买人一经应价或报价，不可撤回。</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四）确定竞得人后，竞得人在拍卖现场与拍卖人签订《成交确认书》。委托他人代签的，应提交法定代表人亲笔签名并盖章的授权委托书。《成交确认书》对拍卖人和竞得人具有法律效力，拍卖人改变拍卖结果的，或者竞得人放弃竞得宗地的，应当承担法律责任。</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（五）</w:t>
      </w:r>
      <w:r>
        <w:rPr>
          <w:rFonts w:hint="eastAsia" w:ascii="Times New Roman" w:hAnsi="Times New Roman" w:eastAsia="方正仿宋_GBK" w:cs="Times New Roman"/>
          <w:color w:val="000000" w:themeColor="text1"/>
          <w:sz w:val="32"/>
          <w:szCs w:val="32"/>
          <w:highlight w:val="none"/>
        </w:rPr>
        <w:t>签订《成交确认书》后，</w:t>
      </w:r>
      <w:r>
        <w:rPr>
          <w:rFonts w:ascii="Times New Roman" w:hAnsi="Times New Roman" w:eastAsia="方正仿宋_GBK" w:cs="Times New Roman"/>
          <w:color w:val="000000" w:themeColor="text1"/>
          <w:sz w:val="32"/>
          <w:szCs w:val="32"/>
          <w:highlight w:val="none"/>
        </w:rPr>
        <w:t>竞得人交纳的竞买保证金</w:t>
      </w:r>
      <w:r>
        <w:rPr>
          <w:rFonts w:hint="eastAsia" w:ascii="Times New Roman" w:hAnsi="Times New Roman" w:eastAsia="方正仿宋_GBK" w:cs="Times New Roman"/>
          <w:color w:val="000000" w:themeColor="text1"/>
          <w:sz w:val="32"/>
          <w:szCs w:val="32"/>
          <w:highlight w:val="none"/>
        </w:rPr>
        <w:t>自动</w:t>
      </w:r>
      <w:r>
        <w:rPr>
          <w:rFonts w:ascii="Times New Roman" w:hAnsi="Times New Roman" w:eastAsia="方正仿宋_GBK" w:cs="Times New Roman"/>
          <w:color w:val="000000" w:themeColor="text1"/>
          <w:sz w:val="32"/>
          <w:szCs w:val="32"/>
          <w:highlight w:val="none"/>
        </w:rPr>
        <w:t>转作该</w:t>
      </w:r>
      <w:r>
        <w:rPr>
          <w:rFonts w:hint="eastAsia" w:ascii="Times New Roman" w:hAnsi="Times New Roman" w:eastAsia="方正仿宋_GBK" w:cs="Times New Roman"/>
          <w:color w:val="000000" w:themeColor="text1"/>
          <w:sz w:val="32"/>
          <w:szCs w:val="32"/>
          <w:highlight w:val="none"/>
        </w:rPr>
        <w:t>宗</w:t>
      </w:r>
      <w:r>
        <w:rPr>
          <w:rFonts w:ascii="Times New Roman" w:hAnsi="Times New Roman" w:eastAsia="方正仿宋_GBK" w:cs="Times New Roman"/>
          <w:color w:val="000000" w:themeColor="text1"/>
          <w:sz w:val="32"/>
          <w:szCs w:val="32"/>
          <w:highlight w:val="none"/>
        </w:rPr>
        <w:t>地的定金</w:t>
      </w:r>
      <w:r>
        <w:rPr>
          <w:rFonts w:hint="eastAsia"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color w:val="000000" w:themeColor="text1"/>
          <w:sz w:val="32"/>
          <w:szCs w:val="32"/>
          <w:highlight w:val="none"/>
        </w:rPr>
        <w:t>未竞得人交纳的竞买保证金，</w:t>
      </w:r>
      <w:r>
        <w:rPr>
          <w:rFonts w:hint="eastAsia" w:ascii="Times New Roman" w:hAnsi="Times New Roman" w:eastAsia="方正仿宋_GBK" w:cs="Times New Roman"/>
          <w:color w:val="000000" w:themeColor="text1"/>
          <w:sz w:val="32"/>
          <w:szCs w:val="32"/>
          <w:highlight w:val="none"/>
        </w:rPr>
        <w:t>拍卖人</w:t>
      </w:r>
      <w:r>
        <w:rPr>
          <w:rFonts w:ascii="Times New Roman" w:hAnsi="Times New Roman" w:eastAsia="方正仿宋_GBK" w:cs="Times New Roman"/>
          <w:color w:val="000000" w:themeColor="text1"/>
          <w:sz w:val="32"/>
          <w:szCs w:val="32"/>
          <w:highlight w:val="none"/>
        </w:rPr>
        <w:t>在拍卖活动结束</w:t>
      </w:r>
      <w:r>
        <w:rPr>
          <w:rFonts w:ascii="Times New Roman" w:hAnsi="Times New Roman" w:eastAsia="方正仿宋_GBK" w:cs="Times New Roman"/>
          <w:b/>
          <w:color w:val="000000" w:themeColor="text1"/>
          <w:sz w:val="32"/>
          <w:szCs w:val="32"/>
          <w:highlight w:val="none"/>
          <w:u w:val="single"/>
        </w:rPr>
        <w:t>次日起5个工作日内</w:t>
      </w:r>
      <w:r>
        <w:rPr>
          <w:rFonts w:ascii="Times New Roman" w:hAnsi="Times New Roman" w:eastAsia="方正仿宋_GBK" w:cs="Times New Roman"/>
          <w:color w:val="000000" w:themeColor="text1"/>
          <w:sz w:val="32"/>
          <w:szCs w:val="32"/>
          <w:highlight w:val="none"/>
        </w:rPr>
        <w:t>予以退还，不计利息。</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（六）有下列情形之一的，拍卖人应当在拍卖会前终止拍卖活动，并通知竞买人：</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竞买人串通损害国家利益、社会利益或他人合法权益的；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拍卖工作人员私下接触竞买人，足以影响拍卖公正性的；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3．应当依法终止拍卖活动的其他情形。</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（七）竞得人有下列行为之一的，视为违约，拍卖人可取消其竞得人资格，竞买保证金不予退还：</w:t>
      </w:r>
    </w:p>
    <w:p>
      <w:pPr>
        <w:widowControl/>
        <w:spacing w:line="600" w:lineRule="exact"/>
        <w:ind w:firstLine="640" w:firstLineChars="200"/>
        <w:jc w:val="left"/>
        <w:rPr>
          <w:rFonts w:ascii="Times New Roman" w:hAnsi="Times New Roman" w:eastAsia="方正仿宋_GBK" w:cs="Times New Roman"/>
          <w:color w:val="000000" w:themeColor="text1"/>
          <w:kern w:val="0"/>
          <w:sz w:val="32"/>
          <w:szCs w:val="32"/>
          <w:highlight w:val="none"/>
        </w:rPr>
      </w:pPr>
      <w:r>
        <w:rPr>
          <w:rFonts w:ascii="Times New Roman" w:hAnsi="Times New Roman" w:eastAsia="方正仿宋_GBK" w:cs="Times New Roman"/>
          <w:color w:val="000000" w:themeColor="text1"/>
          <w:kern w:val="0"/>
          <w:sz w:val="32"/>
          <w:szCs w:val="32"/>
          <w:highlight w:val="none"/>
        </w:rPr>
        <w:t>1．提供虚假文件隐瞒事实的</w:t>
      </w:r>
      <w:r>
        <w:rPr>
          <w:rFonts w:hint="eastAsia" w:ascii="Times New Roman" w:hAnsi="Times New Roman" w:eastAsia="方正仿宋_GBK" w:cs="Times New Roman"/>
          <w:color w:val="000000" w:themeColor="text1"/>
          <w:kern w:val="0"/>
          <w:sz w:val="32"/>
          <w:szCs w:val="32"/>
          <w:highlight w:val="none"/>
        </w:rPr>
        <w:t>。</w:t>
      </w:r>
    </w:p>
    <w:p>
      <w:pPr>
        <w:widowControl/>
        <w:spacing w:line="600" w:lineRule="exact"/>
        <w:ind w:firstLine="640" w:firstLineChars="200"/>
        <w:jc w:val="left"/>
        <w:rPr>
          <w:rFonts w:ascii="Times New Roman" w:hAnsi="Times New Roman" w:eastAsia="方正仿宋_GBK" w:cs="Times New Roman"/>
          <w:color w:val="000000" w:themeColor="text1"/>
          <w:kern w:val="0"/>
          <w:sz w:val="32"/>
          <w:szCs w:val="32"/>
          <w:highlight w:val="none"/>
        </w:rPr>
      </w:pPr>
      <w:r>
        <w:rPr>
          <w:rFonts w:ascii="Times New Roman" w:hAnsi="Times New Roman" w:eastAsia="方正仿宋_GBK" w:cs="Times New Roman"/>
          <w:color w:val="000000" w:themeColor="text1"/>
          <w:kern w:val="0"/>
          <w:sz w:val="32"/>
          <w:szCs w:val="32"/>
          <w:highlight w:val="none"/>
        </w:rPr>
        <w:t>2．采取行贿、恶意串通等非法手段竞得的。</w:t>
      </w:r>
    </w:p>
    <w:p>
      <w:pPr>
        <w:widowControl/>
        <w:spacing w:line="600" w:lineRule="exact"/>
        <w:ind w:firstLine="640" w:firstLineChars="200"/>
        <w:jc w:val="left"/>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w:t>
      </w:r>
      <w:r>
        <w:rPr>
          <w:rFonts w:ascii="Times New Roman" w:hAnsi="Times New Roman" w:eastAsia="方正仿宋_GBK" w:cs="Times New Roman"/>
          <w:color w:val="000000" w:themeColor="text1"/>
          <w:w w:val="95"/>
          <w:sz w:val="32"/>
          <w:szCs w:val="32"/>
          <w:highlight w:val="none"/>
        </w:rPr>
        <w:t>竞得人逾期或拒绝签订</w:t>
      </w:r>
      <w:r>
        <w:rPr>
          <w:rFonts w:ascii="Times New Roman" w:hAnsi="Times New Roman" w:eastAsia="方正仿宋_GBK" w:cs="Times New Roman"/>
          <w:color w:val="000000" w:themeColor="text1"/>
          <w:sz w:val="32"/>
          <w:szCs w:val="32"/>
          <w:highlight w:val="none"/>
        </w:rPr>
        <w:t>《成交确认书》的。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w:t>
      </w:r>
      <w:r>
        <w:rPr>
          <w:rFonts w:ascii="Times New Roman" w:hAnsi="Times New Roman" w:eastAsia="方正仿宋_GBK" w:cs="Times New Roman"/>
          <w:color w:val="000000" w:themeColor="text1"/>
          <w:w w:val="95"/>
          <w:sz w:val="32"/>
          <w:szCs w:val="32"/>
          <w:highlight w:val="none"/>
        </w:rPr>
        <w:t>．竞得人逾期或拒绝签订《出让合同》的</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（八）竞得人与出让人签订《出让合同》后，应当按《出让合同》约定支付拍卖成交价款。竞得人付清全部拍卖成交价款后</w:t>
      </w:r>
      <w:r>
        <w:rPr>
          <w:rFonts w:hint="eastAsia" w:ascii="Times New Roman" w:hAnsi="Times New Roman" w:eastAsia="方正仿宋_GBK" w:cs="Times New Roman"/>
          <w:b/>
          <w:color w:val="000000" w:themeColor="text1"/>
          <w:sz w:val="32"/>
          <w:szCs w:val="32"/>
          <w:highlight w:val="none"/>
        </w:rPr>
        <w:t>（如涉及分期付款利息和延迟缴纳土地价款违约金的，需一并缴清）</w:t>
      </w:r>
      <w:r>
        <w:rPr>
          <w:rFonts w:ascii="Times New Roman" w:hAnsi="Times New Roman" w:eastAsia="方正仿宋_GBK" w:cs="Times New Roman"/>
          <w:color w:val="000000" w:themeColor="text1"/>
          <w:sz w:val="32"/>
          <w:szCs w:val="32"/>
          <w:highlight w:val="none"/>
        </w:rPr>
        <w:t>，方可依法申请办理土地登记，领取《不动产权证书》。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（九）拍卖不成交的，应当按规定由我</w:t>
      </w:r>
      <w:r>
        <w:rPr>
          <w:rFonts w:hint="eastAsia" w:ascii="Times New Roman" w:hAnsi="Times New Roman" w:eastAsia="方正仿宋_GBK" w:cs="Times New Roman"/>
          <w:color w:val="000000" w:themeColor="text1"/>
          <w:sz w:val="32"/>
          <w:szCs w:val="32"/>
          <w:highlight w:val="none"/>
        </w:rPr>
        <w:t>中心</w:t>
      </w:r>
      <w:r>
        <w:rPr>
          <w:rFonts w:ascii="Times New Roman" w:hAnsi="Times New Roman" w:eastAsia="方正仿宋_GBK" w:cs="Times New Roman"/>
          <w:color w:val="000000" w:themeColor="text1"/>
          <w:sz w:val="32"/>
          <w:szCs w:val="32"/>
          <w:highlight w:val="none"/>
        </w:rPr>
        <w:t>重新组织出让。</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（十）参加拍卖活动的人员，应遵守现场的纪律，服从管理人员的管理。</w:t>
      </w:r>
    </w:p>
    <w:p>
      <w:pPr>
        <w:widowControl/>
        <w:spacing w:line="600" w:lineRule="exact"/>
        <w:ind w:firstLine="640" w:firstLineChars="200"/>
        <w:rPr>
          <w:rFonts w:ascii="Times New Roman" w:hAnsi="Times New Roman" w:eastAsia="方正仿宋_GBK" w:cs="Times New Roman"/>
          <w:color w:val="000000" w:themeColor="text1"/>
          <w:kern w:val="0"/>
          <w:sz w:val="32"/>
          <w:szCs w:val="32"/>
          <w:highlight w:val="none"/>
        </w:rPr>
      </w:pPr>
      <w:r>
        <w:rPr>
          <w:rFonts w:hint="eastAsia" w:ascii="方正黑体_GBK" w:hAnsi="方正黑体_GBK" w:eastAsia="方正黑体_GBK" w:cs="方正黑体_GBK"/>
          <w:color w:val="000000" w:themeColor="text1"/>
          <w:kern w:val="0"/>
          <w:sz w:val="32"/>
          <w:szCs w:val="32"/>
          <w:highlight w:val="none"/>
        </w:rPr>
        <w:t>十、</w:t>
      </w:r>
      <w:r>
        <w:rPr>
          <w:rFonts w:hint="eastAsia" w:ascii="Times New Roman" w:hAnsi="Times New Roman" w:eastAsia="方正仿宋_GBK" w:cs="Times New Roman"/>
          <w:color w:val="000000" w:themeColor="text1"/>
          <w:kern w:val="0"/>
          <w:sz w:val="32"/>
          <w:szCs w:val="32"/>
          <w:highlight w:val="none"/>
        </w:rPr>
        <w:t>该地块拍卖成交后，竞得人需在成交后</w:t>
      </w:r>
      <w:r>
        <w:rPr>
          <w:rFonts w:hint="eastAsia" w:ascii="Times New Roman" w:hAnsi="Times New Roman" w:eastAsia="方正仿宋_GBK" w:cs="Times New Roman"/>
          <w:b/>
          <w:bCs/>
          <w:color w:val="000000" w:themeColor="text1"/>
          <w:kern w:val="0"/>
          <w:sz w:val="32"/>
          <w:szCs w:val="32"/>
          <w:highlight w:val="none"/>
          <w:u w:val="single"/>
        </w:rPr>
        <w:t>5</w:t>
      </w:r>
      <w:r>
        <w:rPr>
          <w:rFonts w:hint="eastAsia" w:ascii="Times New Roman" w:hAnsi="Times New Roman" w:eastAsia="方正仿宋_GBK" w:cs="Times New Roman"/>
          <w:color w:val="000000" w:themeColor="text1"/>
          <w:kern w:val="0"/>
          <w:sz w:val="32"/>
          <w:szCs w:val="32"/>
          <w:highlight w:val="none"/>
          <w:u w:val="single"/>
        </w:rPr>
        <w:t>个工作日</w:t>
      </w:r>
      <w:r>
        <w:rPr>
          <w:rFonts w:hint="eastAsia" w:ascii="Times New Roman" w:hAnsi="Times New Roman" w:eastAsia="方正仿宋_GBK" w:cs="Times New Roman"/>
          <w:color w:val="000000" w:themeColor="text1"/>
          <w:kern w:val="0"/>
          <w:sz w:val="32"/>
          <w:szCs w:val="32"/>
          <w:highlight w:val="none"/>
        </w:rPr>
        <w:t>内将地产交易手续费缴入</w:t>
      </w:r>
      <w:r>
        <w:rPr>
          <w:rFonts w:hint="eastAsia" w:ascii="Times New Roman" w:hAnsi="Times New Roman" w:eastAsia="方正仿宋_GBK" w:cs="Times New Roman"/>
          <w:sz w:val="32"/>
          <w:szCs w:val="32"/>
          <w:highlight w:val="none"/>
          <w:u w:val="single"/>
        </w:rPr>
        <w:t>资阳市土地矿产交易中心指定账户</w:t>
      </w:r>
      <w:r>
        <w:rPr>
          <w:rFonts w:hint="eastAsia" w:ascii="Times New Roman" w:hAnsi="Times New Roman" w:eastAsia="方正仿宋_GBK" w:cs="Times New Roman"/>
          <w:color w:val="000000" w:themeColor="text1"/>
          <w:kern w:val="0"/>
          <w:sz w:val="32"/>
          <w:szCs w:val="32"/>
          <w:highlight w:val="none"/>
        </w:rPr>
        <w:t>。按照川价发〔2006〕229号文件规定，地产交易手续费按照该地块成交总价款差额定率累进法计算收取。</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color w:val="000000" w:themeColor="text1"/>
          <w:sz w:val="32"/>
          <w:szCs w:val="32"/>
          <w:highlight w:val="none"/>
        </w:rPr>
        <w:t>具体标准如下：</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4682"/>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档次</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拍卖金额</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100万元以下</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2</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100‒500万元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3</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500‒1000万元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4</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1000‒5000万元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5</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5000‒10000万元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6</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10000‒100000万元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7</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100000万元以上</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0.1%</w:t>
            </w:r>
          </w:p>
        </w:tc>
      </w:tr>
    </w:tbl>
    <w:p>
      <w:pPr>
        <w:widowControl/>
        <w:spacing w:line="600" w:lineRule="exact"/>
        <w:ind w:firstLine="640" w:firstLineChars="200"/>
        <w:rPr>
          <w:rFonts w:hint="eastAsia" w:ascii="方正黑体_GBK" w:hAnsi="方正黑体_GBK" w:eastAsia="方正黑体_GBK" w:cs="方正黑体_GBK"/>
          <w:b w:val="0"/>
          <w:bCs w:val="0"/>
          <w:color w:val="000000" w:themeColor="text1"/>
          <w:sz w:val="32"/>
          <w:szCs w:val="32"/>
          <w:highlight w:val="none"/>
        </w:rPr>
      </w:pPr>
      <w:r>
        <w:rPr>
          <w:rFonts w:hint="eastAsia" w:ascii="Times New Roman" w:hAnsi="Times New Roman" w:eastAsia="方正仿宋_GBK" w:cs="Times New Roman"/>
          <w:color w:val="000000" w:themeColor="text1"/>
          <w:kern w:val="0"/>
          <w:sz w:val="32"/>
          <w:szCs w:val="32"/>
          <w:highlight w:val="none"/>
        </w:rPr>
        <w:t>根据资住建发[2022]79号文件要求，地产交易手续费按照该文件标准将在上述支付标准核算金额基础上减按50%收取。</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方正黑体_GBK" w:hAnsi="方正黑体_GBK" w:eastAsia="方正黑体_GBK" w:cs="方正黑体_GBK"/>
          <w:color w:val="000000" w:themeColor="text1"/>
          <w:sz w:val="32"/>
          <w:szCs w:val="32"/>
          <w:highlight w:val="none"/>
        </w:rPr>
        <w:t>十一、</w:t>
      </w:r>
      <w:r>
        <w:rPr>
          <w:rFonts w:ascii="Times New Roman" w:hAnsi="Times New Roman" w:eastAsia="方正仿宋_GBK" w:cs="Times New Roman"/>
          <w:color w:val="000000" w:themeColor="text1"/>
          <w:sz w:val="32"/>
          <w:szCs w:val="32"/>
          <w:highlight w:val="none"/>
        </w:rPr>
        <w:t>本《出让须知》</w:t>
      </w:r>
      <w:r>
        <w:rPr>
          <w:rFonts w:hint="eastAsia" w:ascii="Times New Roman" w:hAnsi="Times New Roman" w:eastAsia="方正仿宋_GBK" w:cs="Times New Roman"/>
          <w:color w:val="000000" w:themeColor="text1"/>
          <w:sz w:val="32"/>
          <w:szCs w:val="32"/>
          <w:highlight w:val="none"/>
        </w:rPr>
        <w:t>由</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hint="eastAsia" w:ascii="Times New Roman" w:hAnsi="Times New Roman" w:eastAsia="方正仿宋_GBK" w:cs="Times New Roman"/>
          <w:color w:val="000000" w:themeColor="text1"/>
          <w:sz w:val="32"/>
          <w:szCs w:val="32"/>
          <w:highlight w:val="none"/>
        </w:rPr>
        <w:t>负责</w:t>
      </w:r>
      <w:r>
        <w:rPr>
          <w:rFonts w:ascii="Times New Roman" w:hAnsi="Times New Roman" w:eastAsia="方正仿宋_GBK" w:cs="Times New Roman"/>
          <w:color w:val="000000" w:themeColor="text1"/>
          <w:sz w:val="32"/>
          <w:szCs w:val="32"/>
          <w:highlight w:val="none"/>
        </w:rPr>
        <w:t>解释。未尽事宜依照《招标拍卖</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出让国有建设用地使用权规定》</w:t>
      </w:r>
      <w:r>
        <w:rPr>
          <w:rFonts w:hint="eastAsia" w:ascii="Times New Roman" w:hAnsi="Times New Roman" w:eastAsia="方正仿宋_GBK" w:cs="Times New Roman"/>
          <w:color w:val="000000" w:themeColor="text1"/>
          <w:sz w:val="32"/>
          <w:szCs w:val="32"/>
          <w:highlight w:val="none"/>
        </w:rPr>
        <w:t>（原</w:t>
      </w:r>
      <w:r>
        <w:rPr>
          <w:rFonts w:ascii="Times New Roman" w:hAnsi="Times New Roman" w:eastAsia="方正仿宋_GBK" w:cs="Times New Roman"/>
          <w:color w:val="000000" w:themeColor="text1"/>
          <w:sz w:val="32"/>
          <w:szCs w:val="32"/>
          <w:highlight w:val="none"/>
        </w:rPr>
        <w:t>国土资源部令</w:t>
      </w:r>
      <w:r>
        <w:rPr>
          <w:rFonts w:hint="eastAsia" w:ascii="Times New Roman" w:hAnsi="Times New Roman" w:eastAsia="方正仿宋_GBK" w:cs="Times New Roman"/>
          <w:color w:val="000000" w:themeColor="text1"/>
          <w:sz w:val="32"/>
          <w:szCs w:val="32"/>
          <w:highlight w:val="none"/>
        </w:rPr>
        <w:t>第</w:t>
      </w:r>
      <w:r>
        <w:rPr>
          <w:rFonts w:ascii="Times New Roman" w:hAnsi="Times New Roman" w:eastAsia="方正仿宋_GBK" w:cs="Times New Roman"/>
          <w:color w:val="000000" w:themeColor="text1"/>
          <w:sz w:val="32"/>
          <w:szCs w:val="32"/>
          <w:highlight w:val="none"/>
        </w:rPr>
        <w:t>39号）办理。</w:t>
      </w:r>
    </w:p>
    <w:p>
      <w:pPr>
        <w:spacing w:after="120" w:line="600" w:lineRule="exact"/>
        <w:ind w:firstLine="320" w:firstLineChars="100"/>
        <w:rPr>
          <w:rFonts w:ascii="Times New Roman" w:hAnsi="Times New Roman" w:eastAsia="仿宋_GB2312" w:cs="Times New Roman"/>
          <w:color w:val="000000" w:themeColor="text1"/>
          <w:sz w:val="32"/>
          <w:highlight w:val="none"/>
        </w:rPr>
      </w:pPr>
    </w:p>
    <w:p>
      <w:pPr>
        <w:widowControl/>
        <w:spacing w:line="600" w:lineRule="exact"/>
        <w:ind w:firstLine="1920" w:firstLineChars="6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 xml:space="preserve">资阳市政府政务服务和公共资源交易服务中心 </w:t>
      </w:r>
    </w:p>
    <w:p>
      <w:pPr>
        <w:widowControl/>
        <w:spacing w:line="600" w:lineRule="exact"/>
        <w:ind w:firstLine="640" w:firstLineChars="200"/>
        <w:rPr>
          <w:color w:val="000000" w:themeColor="text1"/>
          <w:highlight w:val="none"/>
        </w:rPr>
        <w:sectPr>
          <w:footerReference r:id="rId5" w:type="default"/>
          <w:pgSz w:w="11906" w:h="16838"/>
          <w:pgMar w:top="2098" w:right="1474" w:bottom="1985" w:left="1588" w:header="851" w:footer="1247" w:gutter="0"/>
          <w:pgNumType w:start="1"/>
          <w:cols w:space="720" w:num="1"/>
          <w:docGrid w:linePitch="312" w:charSpace="0"/>
        </w:sectPr>
      </w:pPr>
      <w:r>
        <w:rPr>
          <w:rFonts w:ascii="Times New Roman" w:hAnsi="Times New Roman" w:eastAsia="方正仿宋_GBK" w:cs="Times New Roman"/>
          <w:color w:val="000000" w:themeColor="text1"/>
          <w:sz w:val="32"/>
          <w:szCs w:val="32"/>
          <w:highlight w:val="none"/>
        </w:rPr>
        <w:t xml:space="preserve">   　　　　　　　　  </w:t>
      </w:r>
      <w:r>
        <w:rPr>
          <w:rFonts w:hint="eastAsia" w:ascii="Times New Roman" w:hAnsi="Times New Roman" w:eastAsia="方正仿宋_GBK" w:cs="Times New Roman"/>
          <w:color w:val="000000" w:themeColor="text1"/>
          <w:sz w:val="32"/>
          <w:szCs w:val="32"/>
          <w:highlight w:val="none"/>
          <w:lang w:val="en-US" w:eastAsia="zh-CN"/>
        </w:rPr>
        <w:t xml:space="preserve">   </w:t>
      </w:r>
      <w:r>
        <w:rPr>
          <w:rFonts w:ascii="Times New Roman" w:hAnsi="Times New Roman" w:eastAsia="方正仿宋_GBK" w:cs="Times New Roman"/>
          <w:color w:val="000000" w:themeColor="text1"/>
          <w:sz w:val="32"/>
          <w:szCs w:val="32"/>
          <w:highlight w:val="none"/>
        </w:rPr>
        <w:t xml:space="preserve"> 20</w:t>
      </w:r>
      <w:r>
        <w:rPr>
          <w:rFonts w:hint="eastAsia" w:ascii="Times New Roman" w:hAnsi="Times New Roman" w:eastAsia="方正仿宋_GBK" w:cs="Times New Roman"/>
          <w:color w:val="000000" w:themeColor="text1"/>
          <w:sz w:val="32"/>
          <w:szCs w:val="32"/>
          <w:highlight w:val="none"/>
        </w:rPr>
        <w:t>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lang w:val="en-US" w:eastAsia="zh-CN"/>
        </w:rPr>
        <w:t>7</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lang w:val="en-US" w:eastAsia="zh-CN"/>
        </w:rPr>
        <w:t>18</w:t>
      </w:r>
      <w:r>
        <w:rPr>
          <w:rFonts w:ascii="Times New Roman" w:hAnsi="Times New Roman" w:eastAsia="方正仿宋_GBK" w:cs="Times New Roman"/>
          <w:color w:val="000000" w:themeColor="text1"/>
          <w:sz w:val="32"/>
          <w:szCs w:val="32"/>
          <w:highlight w:val="none"/>
        </w:rPr>
        <w:t>日</w:t>
      </w:r>
    </w:p>
    <w:p>
      <w:pPr>
        <w:pStyle w:val="2"/>
        <w:ind w:firstLine="0" w:firstLineChars="0"/>
        <w:rPr>
          <w:rFonts w:hint="eastAsia" w:ascii="Times New Roman" w:hAnsi="Times New Roman" w:eastAsia="宋体" w:cs="宋体"/>
          <w:color w:val="000000"/>
          <w:szCs w:val="32"/>
          <w:highlight w:val="none"/>
        </w:rPr>
        <w:sectPr>
          <w:footerReference r:id="rId6" w:type="default"/>
          <w:pgSz w:w="11906" w:h="16838"/>
          <w:pgMar w:top="2098" w:right="1474" w:bottom="1985" w:left="1588" w:header="851" w:footer="1247" w:gutter="0"/>
          <w:cols w:space="720" w:num="1"/>
          <w:docGrid w:linePitch="312" w:charSpace="0"/>
        </w:sectPr>
      </w:pPr>
      <w:r>
        <w:rPr>
          <w:rFonts w:hint="default" w:ascii="Times New Roman" w:hAnsi="Times New Roman" w:eastAsia="方正仿宋简体"/>
          <w:highlight w:val="none"/>
        </w:rPr>
        <w:drawing>
          <wp:inline distT="0" distB="0" distL="114300" distR="114300">
            <wp:extent cx="5848985" cy="4738370"/>
            <wp:effectExtent l="0" t="0" r="4445" b="11430"/>
            <wp:docPr id="1" name="图片 1" descr="13780841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1378084178"/>
                    <pic:cNvPicPr>
                      <a:picLocks noChangeAspect="true"/>
                    </pic:cNvPicPr>
                  </pic:nvPicPr>
                  <pic:blipFill>
                    <a:blip r:embed="rId12"/>
                    <a:stretch>
                      <a:fillRect/>
                    </a:stretch>
                  </pic:blipFill>
                  <pic:spPr>
                    <a:xfrm>
                      <a:off x="0" y="0"/>
                      <a:ext cx="5848985" cy="4738370"/>
                    </a:xfrm>
                    <a:prstGeom prst="rect">
                      <a:avLst/>
                    </a:prstGeom>
                    <a:noFill/>
                    <a:ln>
                      <a:noFill/>
                    </a:ln>
                  </pic:spPr>
                </pic:pic>
              </a:graphicData>
            </a:graphic>
          </wp:inline>
        </w:drawing>
      </w:r>
    </w:p>
    <w:p>
      <w:pPr>
        <w:rPr>
          <w:rFonts w:ascii="宋体" w:hAnsi="宋体" w:eastAsia="宋体"/>
          <w:b/>
          <w:bCs/>
          <w:highlight w:val="none"/>
        </w:rPr>
      </w:pPr>
      <w:r>
        <w:rPr>
          <w:sz w:val="24"/>
          <w:szCs w:val="24"/>
          <w:highlight w:val="none"/>
        </w:rPr>
        <w:drawing>
          <wp:anchor distT="0" distB="0" distL="114300" distR="114300" simplePos="0" relativeHeight="251671552" behindDoc="1" locked="0" layoutInCell="0" allowOverlap="1">
            <wp:simplePos x="0" y="0"/>
            <wp:positionH relativeFrom="page">
              <wp:posOffset>1310640</wp:posOffset>
            </wp:positionH>
            <wp:positionV relativeFrom="page">
              <wp:posOffset>1742440</wp:posOffset>
            </wp:positionV>
            <wp:extent cx="4836160" cy="7495540"/>
            <wp:effectExtent l="0" t="0" r="11430" b="6350"/>
            <wp:wrapNone/>
            <wp:docPr id="2" name="Picture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true"/>
                    </pic:cNvPicPr>
                  </pic:nvPicPr>
                  <pic:blipFill>
                    <a:blip r:embed="rId13">
                      <a:clrChange>
                        <a:clrFrom>
                          <a:srgbClr val="FFFFFF"/>
                        </a:clrFrom>
                        <a:clrTo>
                          <a:srgbClr val="FFFFFF">
                            <a:alpha val="0"/>
                          </a:srgbClr>
                        </a:clrTo>
                      </a:clrChange>
                      <a:lum bright="-29999" contrast="24000"/>
                    </a:blip>
                    <a:srcRect l="9123" b="7983"/>
                    <a:stretch>
                      <a:fillRect/>
                    </a:stretch>
                  </pic:blipFill>
                  <pic:spPr>
                    <a:xfrm>
                      <a:off x="0" y="0"/>
                      <a:ext cx="4836160" cy="7495540"/>
                    </a:xfrm>
                    <a:prstGeom prst="rect">
                      <a:avLst/>
                    </a:prstGeom>
                    <a:noFill/>
                    <a:ln>
                      <a:noFill/>
                    </a:ln>
                  </pic:spPr>
                </pic:pic>
              </a:graphicData>
            </a:graphic>
          </wp:anchor>
        </w:drawing>
      </w:r>
      <w:r>
        <w:rPr>
          <w:rFonts w:ascii="Times New Roman" w:hAnsi="Times New Roman"/>
          <w:highlight w:val="none"/>
        </w:rPr>
        <w:br w:type="page"/>
      </w:r>
    </w:p>
    <w:p>
      <w:pPr>
        <w:pStyle w:val="2"/>
        <w:ind w:left="0" w:leftChars="0" w:firstLine="0" w:firstLineChars="0"/>
        <w:rPr>
          <w:rFonts w:hint="eastAsia" w:eastAsia="宋体"/>
          <w:highlight w:val="none"/>
        </w:rPr>
        <w:sectPr>
          <w:pgSz w:w="11906" w:h="16838"/>
          <w:pgMar w:top="2098" w:right="1474" w:bottom="1985" w:left="1588" w:header="851" w:footer="1247" w:gutter="0"/>
          <w:cols w:space="720" w:num="1"/>
          <w:docGrid w:linePitch="312" w:charSpace="0"/>
        </w:sectPr>
      </w:pPr>
    </w:p>
    <w:p>
      <w:pPr>
        <w:pStyle w:val="2"/>
        <w:ind w:left="0" w:leftChars="0" w:firstLine="0" w:firstLineChars="0"/>
        <w:rPr>
          <w:rFonts w:hint="eastAsia" w:eastAsia="宋体"/>
          <w:highlight w:val="none"/>
        </w:rPr>
        <w:sectPr>
          <w:pgSz w:w="11906" w:h="16838"/>
          <w:pgMar w:top="2098" w:right="1474" w:bottom="1985" w:left="1588" w:header="851" w:footer="1247" w:gutter="0"/>
          <w:cols w:space="720" w:num="1"/>
          <w:docGrid w:linePitch="312" w:charSpace="0"/>
        </w:sectPr>
      </w:pPr>
      <w:r>
        <w:rPr>
          <w:sz w:val="20"/>
          <w:szCs w:val="20"/>
          <w:highlight w:val="none"/>
        </w:rPr>
        <w:drawing>
          <wp:anchor distT="0" distB="0" distL="114300" distR="114300" simplePos="0" relativeHeight="251672576" behindDoc="1" locked="0" layoutInCell="1" allowOverlap="1">
            <wp:simplePos x="0" y="0"/>
            <wp:positionH relativeFrom="page">
              <wp:posOffset>1008380</wp:posOffset>
            </wp:positionH>
            <wp:positionV relativeFrom="page">
              <wp:posOffset>1332230</wp:posOffset>
            </wp:positionV>
            <wp:extent cx="5324475" cy="7528560"/>
            <wp:effectExtent l="0" t="0" r="0" b="0"/>
            <wp:wrapNone/>
            <wp:docPr id="3" name="Picture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true"/>
                    </pic:cNvPicPr>
                  </pic:nvPicPr>
                  <pic:blipFill>
                    <a:blip r:embed="rId14">
                      <a:clrChange>
                        <a:clrFrom>
                          <a:srgbClr val="FFFFFF"/>
                        </a:clrFrom>
                        <a:clrTo>
                          <a:srgbClr val="FFFFFF">
                            <a:alpha val="0"/>
                          </a:srgbClr>
                        </a:clrTo>
                      </a:clrChange>
                      <a:lum bright="-17999" contrast="18000"/>
                    </a:blip>
                    <a:srcRect l="8995" t="9326" r="8743" b="8148"/>
                    <a:stretch>
                      <a:fillRect/>
                    </a:stretch>
                  </pic:blipFill>
                  <pic:spPr>
                    <a:xfrm>
                      <a:off x="0" y="0"/>
                      <a:ext cx="5324475" cy="7528560"/>
                    </a:xfrm>
                    <a:prstGeom prst="rect">
                      <a:avLst/>
                    </a:prstGeom>
                    <a:noFill/>
                    <a:ln>
                      <a:noFill/>
                    </a:ln>
                  </pic:spPr>
                </pic:pic>
              </a:graphicData>
            </a:graphic>
          </wp:anchor>
        </w:drawing>
      </w:r>
    </w:p>
    <w:p>
      <w:pPr>
        <w:pStyle w:val="2"/>
        <w:ind w:left="0" w:leftChars="0" w:firstLine="0" w:firstLineChars="0"/>
        <w:rPr>
          <w:rFonts w:ascii="宋体" w:hAnsi="宋体" w:eastAsia="宋体"/>
          <w:highlight w:val="none"/>
        </w:rPr>
      </w:pPr>
      <w:r>
        <w:rPr>
          <w:sz w:val="20"/>
          <w:szCs w:val="20"/>
          <w:highlight w:val="none"/>
        </w:rPr>
        <w:drawing>
          <wp:anchor distT="0" distB="0" distL="114300" distR="114300" simplePos="0" relativeHeight="251673600" behindDoc="0" locked="0" layoutInCell="1" allowOverlap="1">
            <wp:simplePos x="0" y="0"/>
            <wp:positionH relativeFrom="page">
              <wp:posOffset>1035050</wp:posOffset>
            </wp:positionH>
            <wp:positionV relativeFrom="page">
              <wp:posOffset>1374140</wp:posOffset>
            </wp:positionV>
            <wp:extent cx="5458460" cy="7526655"/>
            <wp:effectExtent l="0" t="0" r="4445" b="5080"/>
            <wp:wrapNone/>
            <wp:docPr id="4" name="Picture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true"/>
                    </pic:cNvPicPr>
                  </pic:nvPicPr>
                  <pic:blipFill>
                    <a:blip r:embed="rId15">
                      <a:clrChange>
                        <a:clrFrom>
                          <a:srgbClr val="FFFFFF"/>
                        </a:clrFrom>
                        <a:clrTo>
                          <a:srgbClr val="FFFFFF">
                            <a:alpha val="0"/>
                          </a:srgbClr>
                        </a:clrTo>
                      </a:clrChange>
                      <a:lum bright="-17999"/>
                    </a:blip>
                    <a:srcRect l="11700" t="10872" b="6453"/>
                    <a:stretch>
                      <a:fillRect/>
                    </a:stretch>
                  </pic:blipFill>
                  <pic:spPr>
                    <a:xfrm>
                      <a:off x="0" y="0"/>
                      <a:ext cx="5458460" cy="7526655"/>
                    </a:xfrm>
                    <a:prstGeom prst="rect">
                      <a:avLst/>
                    </a:prstGeom>
                    <a:noFill/>
                    <a:ln>
                      <a:noFill/>
                    </a:ln>
                  </pic:spPr>
                </pic:pic>
              </a:graphicData>
            </a:graphic>
          </wp:anchor>
        </w:drawing>
      </w:r>
    </w:p>
    <w:p>
      <w:pPr>
        <w:pStyle w:val="2"/>
        <w:ind w:firstLine="210"/>
        <w:rPr>
          <w:rFonts w:hint="eastAsia" w:eastAsia="宋体"/>
          <w:highlight w:val="none"/>
        </w:rPr>
        <w:sectPr>
          <w:pgSz w:w="11906" w:h="16838"/>
          <w:pgMar w:top="2098" w:right="1474" w:bottom="1985" w:left="1588" w:header="851" w:footer="1247" w:gutter="0"/>
          <w:cols w:space="720" w:num="1"/>
          <w:docGrid w:linePitch="312" w:charSpace="0"/>
        </w:sectPr>
      </w:pPr>
    </w:p>
    <w:p>
      <w:pPr>
        <w:pStyle w:val="2"/>
        <w:ind w:left="0" w:leftChars="0" w:firstLine="0" w:firstLineChars="0"/>
        <w:rPr>
          <w:rFonts w:hint="eastAsia" w:eastAsia="宋体"/>
          <w:highlight w:val="none"/>
        </w:rPr>
        <w:sectPr>
          <w:pgSz w:w="11906" w:h="16838"/>
          <w:pgMar w:top="2098" w:right="1474" w:bottom="1985" w:left="1588" w:header="851" w:footer="1247" w:gutter="0"/>
          <w:cols w:space="720" w:num="1"/>
          <w:docGrid w:linePitch="312" w:charSpace="0"/>
        </w:sectPr>
      </w:pPr>
      <w:r>
        <w:rPr>
          <w:rFonts w:eastAsia="方正仿宋_GBK"/>
          <w:sz w:val="33"/>
          <w:szCs w:val="33"/>
          <w:highlight w:val="none"/>
        </w:rPr>
        <w:drawing>
          <wp:anchor distT="0" distB="0" distL="114300" distR="114300" simplePos="0" relativeHeight="251674624" behindDoc="0" locked="0" layoutInCell="1" allowOverlap="1">
            <wp:simplePos x="0" y="0"/>
            <wp:positionH relativeFrom="column">
              <wp:posOffset>-254000</wp:posOffset>
            </wp:positionH>
            <wp:positionV relativeFrom="paragraph">
              <wp:posOffset>77470</wp:posOffset>
            </wp:positionV>
            <wp:extent cx="5477510" cy="7721600"/>
            <wp:effectExtent l="0" t="0" r="12700" b="3810"/>
            <wp:wrapNone/>
            <wp:docPr id="5" name="图片 217" descr="17009442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17" descr="1700944289"/>
                    <pic:cNvPicPr>
                      <a:picLocks noChangeAspect="true"/>
                    </pic:cNvPicPr>
                  </pic:nvPicPr>
                  <pic:blipFill>
                    <a:blip r:embed="rId16">
                      <a:lum bright="-6000" contrast="24000"/>
                    </a:blip>
                    <a:srcRect t="9515" r="7915" b="7469"/>
                    <a:stretch>
                      <a:fillRect/>
                    </a:stretch>
                  </pic:blipFill>
                  <pic:spPr>
                    <a:xfrm>
                      <a:off x="0" y="0"/>
                      <a:ext cx="5477510" cy="7721600"/>
                    </a:xfrm>
                    <a:prstGeom prst="rect">
                      <a:avLst/>
                    </a:prstGeom>
                    <a:noFill/>
                    <a:ln>
                      <a:noFill/>
                    </a:ln>
                  </pic:spPr>
                </pic:pic>
              </a:graphicData>
            </a:graphic>
          </wp:anchor>
        </w:drawing>
      </w:r>
    </w:p>
    <w:p>
      <w:pPr>
        <w:pStyle w:val="2"/>
        <w:ind w:left="0" w:leftChars="0" w:firstLine="0" w:firstLineChars="0"/>
        <w:rPr>
          <w:rFonts w:eastAsia="方正仿宋_GBK"/>
          <w:sz w:val="33"/>
          <w:szCs w:val="33"/>
          <w:highlight w:val="none"/>
        </w:rPr>
      </w:pPr>
      <w:r>
        <w:rPr>
          <w:rFonts w:eastAsia="方正仿宋_GBK"/>
          <w:sz w:val="33"/>
          <w:szCs w:val="33"/>
          <w:highlight w:val="none"/>
        </w:rPr>
        <w:drawing>
          <wp:inline distT="0" distB="0" distL="114300" distR="114300">
            <wp:extent cx="5981065" cy="7815580"/>
            <wp:effectExtent l="0" t="0" r="12065" b="7620"/>
            <wp:docPr id="6" name="图片 2" descr="381967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 descr="38196787"/>
                    <pic:cNvPicPr>
                      <a:picLocks noChangeAspect="true"/>
                    </pic:cNvPicPr>
                  </pic:nvPicPr>
                  <pic:blipFill>
                    <a:blip r:embed="rId17"/>
                    <a:srcRect l="12204" t="9052" b="7684"/>
                    <a:stretch>
                      <a:fillRect/>
                    </a:stretch>
                  </pic:blipFill>
                  <pic:spPr>
                    <a:xfrm>
                      <a:off x="0" y="0"/>
                      <a:ext cx="5981065" cy="7815580"/>
                    </a:xfrm>
                    <a:prstGeom prst="rect">
                      <a:avLst/>
                    </a:prstGeom>
                    <a:noFill/>
                    <a:ln>
                      <a:noFill/>
                    </a:ln>
                  </pic:spPr>
                </pic:pic>
              </a:graphicData>
            </a:graphic>
          </wp:inline>
        </w:drawing>
      </w:r>
    </w:p>
    <w:p>
      <w:pPr>
        <w:pStyle w:val="2"/>
        <w:ind w:left="0" w:leftChars="0" w:firstLine="0" w:firstLineChars="0"/>
        <w:rPr>
          <w:rFonts w:eastAsia="方正仿宋_GBK"/>
          <w:sz w:val="33"/>
          <w:szCs w:val="33"/>
          <w:highlight w:val="none"/>
        </w:rPr>
      </w:pPr>
    </w:p>
    <w:p>
      <w:pPr>
        <w:pStyle w:val="2"/>
        <w:ind w:left="0" w:leftChars="0" w:firstLine="0" w:firstLineChars="0"/>
        <w:rPr>
          <w:rFonts w:eastAsia="方正仿宋_GBK"/>
          <w:sz w:val="33"/>
          <w:szCs w:val="33"/>
          <w:highlight w:val="none"/>
        </w:rPr>
      </w:pPr>
      <w:r>
        <w:rPr>
          <w:rFonts w:eastAsia="方正仿宋_GBK"/>
          <w:sz w:val="33"/>
          <w:szCs w:val="33"/>
          <w:highlight w:val="none"/>
        </w:rPr>
        <w:drawing>
          <wp:inline distT="0" distB="0" distL="114300" distR="114300">
            <wp:extent cx="5672455" cy="7522210"/>
            <wp:effectExtent l="0" t="0" r="13335" b="7620"/>
            <wp:docPr id="7" name="图片 3" descr="6680154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3" descr="668015443"/>
                    <pic:cNvPicPr>
                      <a:picLocks noChangeAspect="true"/>
                    </pic:cNvPicPr>
                  </pic:nvPicPr>
                  <pic:blipFill>
                    <a:blip r:embed="rId18"/>
                    <a:srcRect l="9206" t="9480" r="4810" b="7268"/>
                    <a:stretch>
                      <a:fillRect/>
                    </a:stretch>
                  </pic:blipFill>
                  <pic:spPr>
                    <a:xfrm>
                      <a:off x="0" y="0"/>
                      <a:ext cx="5672455" cy="7522210"/>
                    </a:xfrm>
                    <a:prstGeom prst="rect">
                      <a:avLst/>
                    </a:prstGeom>
                    <a:noFill/>
                    <a:ln>
                      <a:noFill/>
                    </a:ln>
                  </pic:spPr>
                </pic:pic>
              </a:graphicData>
            </a:graphic>
          </wp:inline>
        </w:drawing>
      </w:r>
    </w:p>
    <w:p>
      <w:pPr>
        <w:pStyle w:val="2"/>
        <w:ind w:left="0" w:leftChars="0" w:firstLine="0" w:firstLineChars="0"/>
        <w:rPr>
          <w:rFonts w:eastAsia="方正仿宋_GBK"/>
          <w:sz w:val="33"/>
          <w:szCs w:val="33"/>
          <w:highlight w:val="none"/>
        </w:rPr>
      </w:pPr>
    </w:p>
    <w:p>
      <w:pPr>
        <w:pStyle w:val="2"/>
        <w:ind w:left="0" w:leftChars="0" w:firstLine="0" w:firstLineChars="0"/>
        <w:rPr>
          <w:rFonts w:eastAsia="方正仿宋_GBK"/>
          <w:sz w:val="33"/>
          <w:szCs w:val="33"/>
          <w:highlight w:val="none"/>
        </w:rPr>
      </w:pPr>
      <w:r>
        <w:rPr>
          <w:rFonts w:eastAsia="方正仿宋_GBK"/>
          <w:sz w:val="33"/>
          <w:szCs w:val="33"/>
          <w:highlight w:val="none"/>
        </w:rPr>
        <w:drawing>
          <wp:inline distT="0" distB="0" distL="114300" distR="114300">
            <wp:extent cx="5603240" cy="5526405"/>
            <wp:effectExtent l="0" t="0" r="12700" b="5715"/>
            <wp:docPr id="8" name="图片 4" descr="6588307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4" descr="658830799"/>
                    <pic:cNvPicPr>
                      <a:picLocks noChangeAspect="true"/>
                    </pic:cNvPicPr>
                  </pic:nvPicPr>
                  <pic:blipFill>
                    <a:blip r:embed="rId19"/>
                    <a:srcRect l="12204" t="11195" b="27437"/>
                    <a:stretch>
                      <a:fillRect/>
                    </a:stretch>
                  </pic:blipFill>
                  <pic:spPr>
                    <a:xfrm>
                      <a:off x="0" y="0"/>
                      <a:ext cx="5603240" cy="5526405"/>
                    </a:xfrm>
                    <a:prstGeom prst="rect">
                      <a:avLst/>
                    </a:prstGeom>
                    <a:noFill/>
                    <a:ln>
                      <a:noFill/>
                    </a:ln>
                  </pic:spPr>
                </pic:pic>
              </a:graphicData>
            </a:graphic>
          </wp:inline>
        </w:drawing>
      </w:r>
    </w:p>
    <w:p>
      <w:pPr>
        <w:pStyle w:val="2"/>
        <w:ind w:left="0" w:leftChars="0" w:firstLine="0" w:firstLineChars="0"/>
        <w:rPr>
          <w:rFonts w:eastAsia="方正仿宋_GBK"/>
          <w:sz w:val="33"/>
          <w:szCs w:val="33"/>
          <w:highlight w:val="none"/>
        </w:rPr>
      </w:pPr>
    </w:p>
    <w:p>
      <w:pPr>
        <w:pStyle w:val="2"/>
        <w:ind w:left="0" w:leftChars="0" w:firstLine="0" w:firstLineChars="0"/>
        <w:rPr>
          <w:rFonts w:eastAsia="方正仿宋_GBK"/>
          <w:sz w:val="33"/>
          <w:szCs w:val="33"/>
          <w:highlight w:val="none"/>
        </w:rPr>
      </w:pPr>
    </w:p>
    <w:p>
      <w:pPr>
        <w:pStyle w:val="2"/>
        <w:ind w:left="0" w:leftChars="0" w:firstLine="0" w:firstLineChars="0"/>
        <w:rPr>
          <w:rFonts w:eastAsia="方正仿宋_GBK"/>
          <w:sz w:val="33"/>
          <w:szCs w:val="33"/>
          <w:highlight w:val="none"/>
        </w:rPr>
      </w:pPr>
    </w:p>
    <w:p>
      <w:pPr>
        <w:pStyle w:val="2"/>
        <w:ind w:left="0" w:leftChars="0" w:firstLine="0" w:firstLineChars="0"/>
        <w:rPr>
          <w:rFonts w:eastAsia="方正仿宋_GBK"/>
          <w:sz w:val="33"/>
          <w:szCs w:val="33"/>
          <w:highlight w:val="none"/>
        </w:rPr>
      </w:pPr>
    </w:p>
    <w:p>
      <w:pPr>
        <w:pStyle w:val="2"/>
        <w:ind w:left="0" w:leftChars="0" w:firstLine="0" w:firstLineChars="0"/>
        <w:rPr>
          <w:rFonts w:eastAsia="方正仿宋_GBK"/>
          <w:sz w:val="33"/>
          <w:szCs w:val="33"/>
          <w:highlight w:val="none"/>
        </w:rPr>
      </w:pPr>
    </w:p>
    <w:p>
      <w:pPr>
        <w:pStyle w:val="2"/>
        <w:ind w:left="0" w:leftChars="0" w:firstLine="0" w:firstLineChars="0"/>
        <w:rPr>
          <w:rFonts w:eastAsia="方正仿宋_GBK"/>
          <w:sz w:val="33"/>
          <w:szCs w:val="33"/>
          <w:highlight w:val="none"/>
        </w:rPr>
      </w:pPr>
    </w:p>
    <w:p>
      <w:pPr>
        <w:pStyle w:val="2"/>
        <w:ind w:left="0" w:leftChars="0" w:firstLine="0" w:firstLineChars="0"/>
        <w:rPr>
          <w:rFonts w:eastAsia="方正仿宋_GBK"/>
          <w:sz w:val="33"/>
          <w:szCs w:val="33"/>
          <w:highlight w:val="none"/>
        </w:rPr>
      </w:pPr>
      <w:r>
        <w:rPr>
          <w:highlight w:val="none"/>
        </w:rPr>
        <w:drawing>
          <wp:anchor distT="0" distB="0" distL="114300" distR="114300" simplePos="0" relativeHeight="251675648" behindDoc="1" locked="0" layoutInCell="1" allowOverlap="1">
            <wp:simplePos x="0" y="0"/>
            <wp:positionH relativeFrom="page">
              <wp:posOffset>1206500</wp:posOffset>
            </wp:positionH>
            <wp:positionV relativeFrom="page">
              <wp:posOffset>1123950</wp:posOffset>
            </wp:positionV>
            <wp:extent cx="5098415" cy="7757795"/>
            <wp:effectExtent l="0" t="0" r="635" b="9525"/>
            <wp:wrapNone/>
            <wp:docPr id="9" name="图片 2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18"/>
                    <pic:cNvPicPr>
                      <a:picLocks noChangeAspect="true"/>
                    </pic:cNvPicPr>
                  </pic:nvPicPr>
                  <pic:blipFill>
                    <a:blip r:embed="rId20"/>
                    <a:stretch>
                      <a:fillRect/>
                    </a:stretch>
                  </pic:blipFill>
                  <pic:spPr>
                    <a:xfrm>
                      <a:off x="0" y="0"/>
                      <a:ext cx="5098415" cy="7757795"/>
                    </a:xfrm>
                    <a:prstGeom prst="rect">
                      <a:avLst/>
                    </a:prstGeom>
                    <a:noFill/>
                    <a:ln>
                      <a:noFill/>
                    </a:ln>
                  </pic:spPr>
                </pic:pic>
              </a:graphicData>
            </a:graphic>
          </wp:anchor>
        </w:drawing>
      </w:r>
    </w:p>
    <w:p>
      <w:pPr>
        <w:pStyle w:val="2"/>
        <w:ind w:left="0" w:leftChars="0" w:firstLine="0" w:firstLineChars="0"/>
        <w:rPr>
          <w:rFonts w:hint="eastAsia" w:eastAsia="方正仿宋_GBK"/>
          <w:sz w:val="33"/>
          <w:szCs w:val="33"/>
          <w:highlight w:val="none"/>
        </w:rPr>
        <w:sectPr>
          <w:pgSz w:w="11906" w:h="16838"/>
          <w:pgMar w:top="2098" w:right="1474" w:bottom="1985" w:left="1588" w:header="851" w:footer="1247" w:gutter="0"/>
          <w:cols w:space="720" w:num="1"/>
          <w:docGrid w:linePitch="312" w:charSpace="0"/>
        </w:sectPr>
      </w:pPr>
    </w:p>
    <w:p>
      <w:pPr>
        <w:widowControl/>
        <w:spacing w:line="480" w:lineRule="exact"/>
        <w:jc w:val="center"/>
        <w:rPr>
          <w:rFonts w:ascii="方正小标宋_GBK" w:hAnsi="Times New Roman" w:eastAsia="方正小标宋_GBK" w:cs="Times New Roman"/>
          <w:spacing w:val="74"/>
          <w:sz w:val="44"/>
          <w:szCs w:val="44"/>
          <w:highlight w:val="none"/>
        </w:rPr>
      </w:pPr>
      <w:r>
        <w:rPr>
          <w:rFonts w:hint="eastAsia" w:ascii="方正小标宋_GBK" w:hAnsi="方正仿宋_GBK" w:eastAsia="方正小标宋_GBK" w:cs="方正仿宋_GBK"/>
          <w:spacing w:val="74"/>
          <w:sz w:val="44"/>
          <w:szCs w:val="44"/>
          <w:highlight w:val="none"/>
        </w:rPr>
        <w:t>竞买申请书</w:t>
      </w:r>
    </w:p>
    <w:p>
      <w:pPr>
        <w:widowControl/>
        <w:autoSpaceDE w:val="0"/>
        <w:spacing w:line="460" w:lineRule="exac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hint="eastAsia" w:ascii="方正仿宋_GBK" w:hAnsi="方正仿宋_GBK" w:eastAsia="方正仿宋_GBK" w:cs="方正仿宋_GBK"/>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w:t>
      </w:r>
      <w:r>
        <w:rPr>
          <w:rFonts w:hint="eastAsia" w:ascii="方正仿宋_GBK" w:hAnsi="方正仿宋_GBK" w:eastAsia="方正仿宋_GBK" w:cs="方正仿宋_GBK"/>
          <w:color w:val="000000" w:themeColor="text1"/>
          <w:sz w:val="32"/>
          <w:szCs w:val="32"/>
          <w:highlight w:val="none"/>
        </w:rPr>
        <w:t>为</w:t>
      </w:r>
      <w:r>
        <w:rPr>
          <w:rFonts w:hint="eastAsia" w:ascii="Times New Roman" w:hAnsi="Times New Roman" w:eastAsia="方正仿宋_GBK" w:cs="Times New Roman"/>
          <w:color w:val="000000" w:themeColor="text1"/>
          <w:sz w:val="32"/>
          <w:szCs w:val="32"/>
          <w:highlight w:val="none"/>
          <w:u w:val="single"/>
        </w:rPr>
        <w:t>LKYD—2022—009</w:t>
      </w:r>
      <w:r>
        <w:rPr>
          <w:rFonts w:hint="eastAsia" w:ascii="方正仿宋_GBK" w:hAnsi="方正仿宋_GBK" w:eastAsia="方正仿宋_GBK" w:cs="方正仿宋_GBK"/>
          <w:color w:val="000000" w:themeColor="text1"/>
          <w:sz w:val="32"/>
          <w:szCs w:val="32"/>
          <w:highlight w:val="none"/>
        </w:rPr>
        <w:t>号宗地的拍卖出让文件，</w:t>
      </w:r>
      <w:r>
        <w:rPr>
          <w:rFonts w:hint="eastAsia" w:ascii="方正仿宋_GBK" w:hAnsi="方正仿宋_GBK" w:eastAsia="方正仿宋_GBK" w:cs="方正仿宋_GBK"/>
          <w:sz w:val="32"/>
          <w:szCs w:val="32"/>
          <w:highlight w:val="none"/>
        </w:rPr>
        <w:t>我方完全接受并愿意遵守此次国有建设用地使用权拍卖出让文件中的规定和要求。我方已到现场进行踏勘，</w:t>
      </w:r>
      <w:r>
        <w:rPr>
          <w:rFonts w:hint="eastAsia" w:ascii="Times New Roman" w:hAnsi="Times New Roman" w:eastAsia="方正仿宋_GBK" w:cs="Times New Roman"/>
          <w:spacing w:val="-6"/>
          <w:sz w:val="32"/>
          <w:szCs w:val="32"/>
          <w:highlight w:val="none"/>
        </w:rPr>
        <w:t>接受出让地块现状“净地”条件，</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color w:val="000000" w:themeColor="text1"/>
          <w:sz w:val="32"/>
          <w:szCs w:val="32"/>
          <w:highlight w:val="none"/>
        </w:rPr>
        <w:t>我方现正式申请参加</w:t>
      </w:r>
      <w:r>
        <w:rPr>
          <w:rFonts w:ascii="Times New Roman" w:hAnsi="Times New Roman" w:eastAsia="方正仿宋_GBK" w:cs="Times New Roman"/>
          <w:color w:val="auto"/>
          <w:sz w:val="32"/>
          <w:szCs w:val="32"/>
          <w:highlight w:val="none"/>
          <w:u w:val="single"/>
        </w:rPr>
        <w:t>2022</w:t>
      </w:r>
      <w:r>
        <w:rPr>
          <w:rFonts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u w:val="single"/>
          <w:lang w:val="en-US" w:eastAsia="zh-CN"/>
        </w:rPr>
        <w:t>8</w:t>
      </w:r>
      <w:r>
        <w:rPr>
          <w:rFonts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u w:val="single"/>
        </w:rPr>
        <w:t>9</w:t>
      </w:r>
      <w:r>
        <w:rPr>
          <w:rFonts w:ascii="Times New Roman" w:hAnsi="Times New Roman" w:eastAsia="方正仿宋_GBK" w:cs="Times New Roman"/>
          <w:color w:val="auto"/>
          <w:sz w:val="32"/>
          <w:szCs w:val="32"/>
          <w:highlight w:val="none"/>
        </w:rPr>
        <w:t>日</w:t>
      </w:r>
      <w:r>
        <w:rPr>
          <w:rFonts w:ascii="Times New Roman" w:hAnsi="Times New Roman" w:eastAsia="方正仿宋_GBK" w:cs="Times New Roman"/>
          <w:color w:val="auto"/>
          <w:sz w:val="32"/>
          <w:szCs w:val="32"/>
          <w:highlight w:val="none"/>
          <w:u w:val="single"/>
        </w:rPr>
        <w:t>10:00</w:t>
      </w:r>
      <w:r>
        <w:rPr>
          <w:rFonts w:hint="eastAsia" w:ascii="方正仿宋_GBK" w:hAnsi="方正仿宋_GBK" w:eastAsia="方正仿宋_GBK" w:cs="方正仿宋_GBK"/>
          <w:color w:val="auto"/>
          <w:sz w:val="32"/>
          <w:szCs w:val="32"/>
          <w:highlight w:val="none"/>
        </w:rPr>
        <w:t>时</w:t>
      </w:r>
      <w:r>
        <w:rPr>
          <w:rFonts w:hint="eastAsia" w:ascii="方正仿宋_GBK" w:hAnsi="方正仿宋_GBK" w:eastAsia="方正仿宋_GBK" w:cs="方正仿宋_GBK"/>
          <w:color w:val="000000" w:themeColor="text1"/>
          <w:sz w:val="32"/>
          <w:szCs w:val="32"/>
          <w:highlight w:val="none"/>
        </w:rPr>
        <w:t>在资阳市政府政务服务和公共资源交易服务中心（雁江区河埝街</w:t>
      </w:r>
      <w:r>
        <w:rPr>
          <w:rFonts w:ascii="Times New Roman" w:hAnsi="Times New Roman" w:eastAsia="方正仿宋_GBK" w:cs="Times New Roman"/>
          <w:color w:val="000000" w:themeColor="text1"/>
          <w:sz w:val="32"/>
          <w:szCs w:val="32"/>
          <w:highlight w:val="none"/>
        </w:rPr>
        <w:t>12</w:t>
      </w:r>
      <w:r>
        <w:rPr>
          <w:rFonts w:hint="eastAsia" w:ascii="方正仿宋_GBK" w:hAnsi="方正仿宋_GBK" w:eastAsia="方正仿宋_GBK" w:cs="方正仿宋_GBK"/>
          <w:color w:val="000000" w:themeColor="text1"/>
          <w:sz w:val="32"/>
          <w:szCs w:val="32"/>
          <w:highlight w:val="none"/>
        </w:rPr>
        <w:t>号）举行的</w:t>
      </w:r>
      <w:r>
        <w:rPr>
          <w:rFonts w:hint="eastAsia" w:ascii="Times New Roman" w:hAnsi="Times New Roman" w:eastAsia="方正仿宋_GBK" w:cs="Times New Roman"/>
          <w:color w:val="000000" w:themeColor="text1"/>
          <w:sz w:val="32"/>
          <w:szCs w:val="32"/>
          <w:highlight w:val="none"/>
          <w:u w:val="single"/>
        </w:rPr>
        <w:t>LKYD—2022—009</w:t>
      </w:r>
      <w:r>
        <w:rPr>
          <w:rFonts w:hint="eastAsia" w:ascii="方正仿宋_GBK" w:hAnsi="方正仿宋_GBK" w:eastAsia="方正仿宋_GBK" w:cs="方正仿宋_GBK"/>
          <w:color w:val="000000" w:themeColor="text1"/>
          <w:sz w:val="32"/>
          <w:szCs w:val="32"/>
          <w:highlight w:val="none"/>
        </w:rPr>
        <w:t>号地块国</w:t>
      </w:r>
      <w:r>
        <w:rPr>
          <w:rFonts w:hint="eastAsia" w:ascii="方正仿宋_GBK" w:hAnsi="方正仿宋_GBK" w:eastAsia="方正仿宋_GBK" w:cs="方正仿宋_GBK"/>
          <w:sz w:val="32"/>
          <w:szCs w:val="32"/>
          <w:highlight w:val="none"/>
        </w:rPr>
        <w:t>有建设用地使用权拍卖出让活动。我方愿意按拍卖出让文件规定，交纳竞买保证金人民币</w:t>
      </w:r>
      <w:r>
        <w:rPr>
          <w:rFonts w:hint="eastAsia" w:ascii="Times New Roman" w:hAnsi="Times New Roman" w:eastAsia="方正仿宋_GBK"/>
          <w:sz w:val="32"/>
          <w:szCs w:val="32"/>
          <w:highlight w:val="none"/>
          <w:u w:val="single"/>
          <w:lang w:val="en-US" w:eastAsia="zh-CN"/>
        </w:rPr>
        <w:t>3964</w:t>
      </w:r>
      <w:r>
        <w:rPr>
          <w:rFonts w:hint="eastAsia" w:ascii="方正仿宋_GBK" w:hAnsi="方正仿宋_GBK" w:eastAsia="方正仿宋_GBK" w:cs="方正仿宋_GBK"/>
          <w:sz w:val="32"/>
          <w:szCs w:val="32"/>
          <w:highlight w:val="none"/>
        </w:rPr>
        <w:t>万元（大写：</w:t>
      </w: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 121800000 \* CHINESENUM4 \* MERGEFORMAT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sz w:val="32"/>
          <w:szCs w:val="32"/>
          <w:highlight w:val="none"/>
          <w:lang w:eastAsia="zh-CN"/>
        </w:rPr>
        <w:t>叁仟玖佰陆拾肆</w:t>
      </w:r>
      <w:r>
        <w:rPr>
          <w:rFonts w:hint="eastAsia" w:ascii="方正仿宋_GBK" w:hAnsi="方正仿宋_GBK" w:eastAsia="方正仿宋_GBK" w:cs="方正仿宋_GBK"/>
          <w:sz w:val="32"/>
          <w:szCs w:val="32"/>
          <w:highlight w:val="none"/>
        </w:rPr>
        <w:t>万元整</w:t>
      </w:r>
      <w:r>
        <w:rPr>
          <w:rFonts w:hint="eastAsia" w:ascii="方正仿宋_GBK" w:hAnsi="方正仿宋_GBK" w:eastAsia="方正仿宋_GBK" w:cs="方正仿宋_GBK"/>
          <w:sz w:val="32"/>
          <w:szCs w:val="32"/>
          <w:highlight w:val="none"/>
        </w:rPr>
        <w:fldChar w:fldCharType="end"/>
      </w:r>
      <w:r>
        <w:rPr>
          <w:rFonts w:hint="eastAsia" w:ascii="方正仿宋_GBK" w:hAnsi="方正仿宋_GBK" w:eastAsia="方正仿宋_GBK" w:cs="方正仿宋_GBK"/>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若能竞得该地块，我方保证按照国有建设用地使用权拍卖出让文件的规定和要求履行全部义务。</w:t>
      </w:r>
    </w:p>
    <w:p>
      <w:pPr>
        <w:widowControl/>
        <w:autoSpaceDE w:val="0"/>
        <w:spacing w:line="460" w:lineRule="exact"/>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（备注：</w:t>
      </w:r>
      <w:r>
        <w:rPr>
          <w:rFonts w:hint="eastAsia" w:ascii="Times New Roman" w:hAnsi="Times New Roman" w:eastAsia="方正仿宋_GBK" w:cs="Times New Roman"/>
          <w:color w:val="FF0000"/>
          <w:kern w:val="0"/>
          <w:sz w:val="32"/>
          <w:szCs w:val="32"/>
          <w:highlight w:val="none"/>
          <w:u w:val="single"/>
        </w:rPr>
        <w:t>申请人竞得土地后，拟成立新公司进行开发建设的，应在申请书中明确新公司的出资构成、成立时间等内容</w:t>
      </w:r>
      <w:r>
        <w:rPr>
          <w:rFonts w:hint="eastAsia" w:ascii="方正仿宋_GBK" w:hAnsi="方正仿宋_GBK" w:eastAsia="方正仿宋_GBK" w:cs="方正仿宋_GBK"/>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若我方在国有建设用地使用权拍卖出让活动中出现违反相关法律、法规的行为，我方愿意承担全部法律责任，并赔偿由此产生的损失。</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特此申请和承诺。</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附件：</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申请人：</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（加盖公章）</w:t>
      </w:r>
    </w:p>
    <w:p>
      <w:pPr>
        <w:widowControl/>
        <w:autoSpaceDE w:val="0"/>
        <w:spacing w:line="460" w:lineRule="exact"/>
        <w:ind w:firstLine="716" w:firstLineChars="224"/>
        <w:rPr>
          <w:rFonts w:ascii="Times New Roman" w:hAnsi="Times New Roman" w:eastAsia="方正仿宋_GBK" w:cs="Times New Roman"/>
          <w:sz w:val="32"/>
          <w:szCs w:val="32"/>
          <w:highlight w:val="none"/>
          <w:u w:val="single"/>
        </w:rPr>
      </w:pPr>
      <w:r>
        <w:rPr>
          <w:rFonts w:hint="eastAsia" w:ascii="方正仿宋_GBK" w:hAnsi="方正仿宋_GBK" w:eastAsia="方正仿宋_GBK" w:cs="方正仿宋_GBK"/>
          <w:sz w:val="32"/>
          <w:szCs w:val="32"/>
          <w:highlight w:val="none"/>
        </w:rPr>
        <w:t>法定代表人（或授权委托代理人）签名：</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r>
        <w:rPr>
          <w:rFonts w:ascii="Times New Roman" w:hAnsi="Times New Roman" w:eastAsia="方正仿宋_GBK" w:cs="Times New Roman"/>
          <w:sz w:val="32"/>
          <w:szCs w:val="32"/>
          <w:highlight w:val="none"/>
        </w:rPr>
        <w:t xml:space="preserve"> </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联系人：</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u w:val="single"/>
        </w:rPr>
        <w:t xml:space="preserve">   </w:t>
      </w:r>
      <w:r>
        <w:rPr>
          <w:rFonts w:hint="eastAsia"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u w:val="single"/>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；电</w:t>
      </w:r>
      <w:r>
        <w:rPr>
          <w:rFonts w:ascii="Times New Roman" w:hAnsi="Times New Roman" w:eastAsia="方正仿宋_GBK" w:cs="Times New Roman"/>
          <w:sz w:val="32"/>
          <w:szCs w:val="32"/>
          <w:highlight w:val="none"/>
        </w:rPr>
        <w:t xml:space="preserve">   </w:t>
      </w:r>
      <w:r>
        <w:rPr>
          <w:rFonts w:hint="eastAsia" w:ascii="方正仿宋_GBK" w:hAnsi="方正仿宋_GBK" w:eastAsia="方正仿宋_GBK" w:cs="方正仿宋_GBK"/>
          <w:sz w:val="32"/>
          <w:szCs w:val="32"/>
          <w:highlight w:val="none"/>
        </w:rPr>
        <w:t>话：</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地</w:t>
      </w:r>
      <w:r>
        <w:rPr>
          <w:rFonts w:ascii="Times New Roman" w:hAnsi="Times New Roman" w:eastAsia="方正仿宋_GBK" w:cs="Times New Roman"/>
          <w:sz w:val="32"/>
          <w:szCs w:val="32"/>
          <w:highlight w:val="none"/>
        </w:rPr>
        <w:t xml:space="preserve">  </w:t>
      </w:r>
      <w:r>
        <w:rPr>
          <w:rFonts w:hint="eastAsia" w:ascii="方正仿宋_GBK" w:hAnsi="方正仿宋_GBK" w:eastAsia="方正仿宋_GBK" w:cs="方正仿宋_GBK"/>
          <w:sz w:val="32"/>
          <w:szCs w:val="32"/>
          <w:highlight w:val="none"/>
        </w:rPr>
        <w:t>址：</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p>
    <w:p>
      <w:pPr>
        <w:widowControl/>
        <w:autoSpaceDE w:val="0"/>
        <w:spacing w:line="460" w:lineRule="exact"/>
        <w:ind w:firstLine="2630" w:firstLineChars="822"/>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申请日期：</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月</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日</w:t>
      </w:r>
    </w:p>
    <w:p>
      <w:pPr>
        <w:jc w:val="center"/>
        <w:rPr>
          <w:rFonts w:ascii="方正小标宋_GBK" w:hAnsi="Times New Roman" w:eastAsia="方正小标宋_GBK" w:cs="Times New Roman"/>
          <w:spacing w:val="38"/>
          <w:sz w:val="44"/>
          <w:szCs w:val="44"/>
          <w:highlight w:val="none"/>
        </w:rPr>
      </w:pPr>
      <w:r>
        <w:rPr>
          <w:rFonts w:hint="eastAsia" w:ascii="方正仿宋_GBK" w:hAnsi="方正仿宋_GBK" w:eastAsia="方正仿宋_GBK" w:cs="方正仿宋_GBK"/>
          <w:sz w:val="30"/>
          <w:szCs w:val="30"/>
          <w:highlight w:val="none"/>
        </w:rPr>
        <w:br w:type="page"/>
      </w:r>
      <w:r>
        <w:rPr>
          <w:rFonts w:hint="eastAsia" w:ascii="方正小标宋_GBK" w:hAnsi="华文中宋" w:eastAsia="方正小标宋_GBK" w:cs="华文中宋"/>
          <w:spacing w:val="38"/>
          <w:sz w:val="44"/>
          <w:szCs w:val="44"/>
          <w:highlight w:val="none"/>
        </w:rPr>
        <w:t>成交确认书</w:t>
      </w:r>
    </w:p>
    <w:p>
      <w:pPr>
        <w:widowControl/>
        <w:spacing w:line="520" w:lineRule="exact"/>
        <w:ind w:firstLine="640" w:firstLineChars="200"/>
        <w:rPr>
          <w:rFonts w:ascii="Times New Roman" w:hAnsi="Times New Roman" w:eastAsia="方正仿宋_GBK" w:cs="Times New Roman"/>
          <w:sz w:val="32"/>
          <w:szCs w:val="20"/>
          <w:highlight w:val="none"/>
        </w:rPr>
      </w:pPr>
      <w:r>
        <w:rPr>
          <w:rFonts w:ascii="Times New Roman" w:hAnsi="Times New Roman" w:eastAsia="方正仿宋_GBK" w:cs="Times New Roman"/>
          <w:sz w:val="32"/>
          <w:szCs w:val="20"/>
          <w:highlight w:val="none"/>
        </w:rPr>
        <w:t>在</w:t>
      </w:r>
      <w:r>
        <w:rPr>
          <w:rFonts w:hint="eastAsia" w:ascii="Times New Roman" w:hAnsi="Times New Roman" w:eastAsia="方正仿宋_GBK" w:cs="Times New Roman"/>
          <w:sz w:val="32"/>
          <w:szCs w:val="20"/>
          <w:highlight w:val="none"/>
          <w:u w:val="single"/>
        </w:rPr>
        <w:t xml:space="preserve"> </w:t>
      </w:r>
      <w:r>
        <w:rPr>
          <w:rFonts w:hint="eastAsia" w:ascii="Times New Roman" w:hAnsi="Times New Roman" w:eastAsia="方正仿宋_GBK" w:cs="Times New Roman"/>
          <w:sz w:val="32"/>
          <w:szCs w:val="20"/>
          <w:highlight w:val="none"/>
          <w:u w:val="single"/>
          <w:lang w:val="en-US" w:eastAsia="zh-CN"/>
        </w:rPr>
        <w:t>2022</w:t>
      </w:r>
      <w:r>
        <w:rPr>
          <w:rFonts w:ascii="Times New Roman" w:hAnsi="Times New Roman" w:eastAsia="方正仿宋_GBK" w:cs="Times New Roman"/>
          <w:sz w:val="32"/>
          <w:szCs w:val="20"/>
          <w:highlight w:val="none"/>
        </w:rPr>
        <w:t>年</w:t>
      </w:r>
      <w:r>
        <w:rPr>
          <w:rFonts w:hint="eastAsia" w:ascii="Times New Roman" w:hAnsi="Times New Roman" w:eastAsia="方正仿宋_GBK" w:cs="Times New Roman"/>
          <w:sz w:val="32"/>
          <w:szCs w:val="20"/>
          <w:highlight w:val="none"/>
          <w:u w:val="single"/>
        </w:rPr>
        <w:t xml:space="preserve"> </w:t>
      </w:r>
      <w:r>
        <w:rPr>
          <w:rFonts w:hint="eastAsia" w:ascii="Times New Roman" w:hAnsi="Times New Roman" w:eastAsia="方正仿宋_GBK" w:cs="Times New Roman"/>
          <w:sz w:val="32"/>
          <w:szCs w:val="20"/>
          <w:highlight w:val="none"/>
          <w:u w:val="single"/>
          <w:lang w:val="en-US" w:eastAsia="zh-CN"/>
        </w:rPr>
        <w:t>8</w:t>
      </w:r>
      <w:r>
        <w:rPr>
          <w:rFonts w:hint="eastAsia" w:ascii="Times New Roman" w:hAnsi="Times New Roman" w:eastAsia="方正仿宋_GBK" w:cs="Times New Roman"/>
          <w:sz w:val="32"/>
          <w:szCs w:val="20"/>
          <w:highlight w:val="none"/>
          <w:u w:val="single"/>
        </w:rPr>
        <w:t xml:space="preserve"> </w:t>
      </w:r>
      <w:r>
        <w:rPr>
          <w:rFonts w:ascii="Times New Roman" w:hAnsi="Times New Roman" w:eastAsia="方正仿宋_GBK" w:cs="Times New Roman"/>
          <w:sz w:val="32"/>
          <w:szCs w:val="20"/>
          <w:highlight w:val="none"/>
        </w:rPr>
        <w:t>月</w:t>
      </w:r>
      <w:r>
        <w:rPr>
          <w:rFonts w:hint="eastAsia" w:ascii="Times New Roman" w:hAnsi="Times New Roman" w:eastAsia="方正仿宋_GBK" w:cs="Times New Roman"/>
          <w:sz w:val="32"/>
          <w:szCs w:val="20"/>
          <w:highlight w:val="none"/>
          <w:u w:val="single"/>
        </w:rPr>
        <w:t xml:space="preserve"> </w:t>
      </w:r>
      <w:r>
        <w:rPr>
          <w:rFonts w:hint="eastAsia" w:ascii="Times New Roman" w:hAnsi="Times New Roman" w:eastAsia="方正仿宋_GBK" w:cs="Times New Roman"/>
          <w:sz w:val="32"/>
          <w:szCs w:val="20"/>
          <w:highlight w:val="none"/>
          <w:u w:val="single"/>
          <w:lang w:val="en-US" w:eastAsia="zh-CN"/>
        </w:rPr>
        <w:t>9</w:t>
      </w:r>
      <w:r>
        <w:rPr>
          <w:rFonts w:ascii="Times New Roman" w:hAnsi="Times New Roman" w:eastAsia="方正仿宋_GBK" w:cs="Times New Roman"/>
          <w:sz w:val="32"/>
          <w:szCs w:val="20"/>
          <w:highlight w:val="none"/>
        </w:rPr>
        <w:t>日</w:t>
      </w:r>
      <w:r>
        <w:rPr>
          <w:rFonts w:ascii="Times New Roman" w:hAnsi="Times New Roman" w:eastAsia="方正仿宋_GBK" w:cs="Times New Roman"/>
          <w:sz w:val="32"/>
          <w:szCs w:val="20"/>
          <w:highlight w:val="none"/>
          <w:u w:val="single"/>
        </w:rPr>
        <w:t>资阳市</w:t>
      </w:r>
      <w:r>
        <w:rPr>
          <w:rFonts w:hint="eastAsia" w:ascii="Times New Roman" w:hAnsi="Times New Roman" w:eastAsia="方正仿宋_GBK" w:cs="Times New Roman"/>
          <w:sz w:val="32"/>
          <w:szCs w:val="20"/>
          <w:highlight w:val="none"/>
          <w:u w:val="single"/>
        </w:rPr>
        <w:t>政府政务服务和</w:t>
      </w:r>
      <w:r>
        <w:rPr>
          <w:rFonts w:ascii="Times New Roman" w:hAnsi="Times New Roman" w:eastAsia="方正仿宋_GBK" w:cs="Times New Roman"/>
          <w:sz w:val="32"/>
          <w:szCs w:val="20"/>
          <w:highlight w:val="none"/>
          <w:u w:val="single"/>
        </w:rPr>
        <w:t>公共资源交易</w:t>
      </w:r>
      <w:r>
        <w:rPr>
          <w:rFonts w:hint="eastAsia" w:ascii="Times New Roman" w:hAnsi="Times New Roman" w:eastAsia="方正仿宋_GBK" w:cs="Times New Roman"/>
          <w:sz w:val="32"/>
          <w:szCs w:val="20"/>
          <w:highlight w:val="none"/>
          <w:u w:val="single"/>
        </w:rPr>
        <w:t>服务</w:t>
      </w:r>
      <w:r>
        <w:rPr>
          <w:rFonts w:ascii="Times New Roman" w:hAnsi="Times New Roman" w:eastAsia="方正仿宋_GBK" w:cs="Times New Roman"/>
          <w:sz w:val="32"/>
          <w:szCs w:val="20"/>
          <w:highlight w:val="none"/>
          <w:u w:val="single"/>
        </w:rPr>
        <w:t>中心</w:t>
      </w:r>
      <w:r>
        <w:rPr>
          <w:rFonts w:ascii="Times New Roman" w:hAnsi="Times New Roman" w:eastAsia="方正仿宋_GBK" w:cs="Times New Roman"/>
          <w:sz w:val="32"/>
          <w:szCs w:val="20"/>
          <w:highlight w:val="none"/>
        </w:rPr>
        <w:t>举办的国有建设用地使用权拍卖出让活动中，</w:t>
      </w:r>
      <w:r>
        <w:rPr>
          <w:rFonts w:hint="eastAsia" w:ascii="Times New Roman" w:hAnsi="Times New Roman" w:eastAsia="方正仿宋_GBK" w:cs="Times New Roman"/>
          <w:sz w:val="32"/>
          <w:szCs w:val="20"/>
          <w:highlight w:val="none"/>
          <w:u w:val="single"/>
        </w:rPr>
        <w:t xml:space="preserve">      </w:t>
      </w:r>
      <w:r>
        <w:rPr>
          <w:rFonts w:ascii="Times New Roman" w:hAnsi="Times New Roman" w:eastAsia="方正仿宋_GBK" w:cs="Times New Roman"/>
          <w:sz w:val="32"/>
          <w:szCs w:val="20"/>
          <w:highlight w:val="none"/>
        </w:rPr>
        <w:t>竞得编号为</w:t>
      </w:r>
      <w:r>
        <w:rPr>
          <w:rFonts w:hint="eastAsia" w:ascii="Times New Roman" w:hAnsi="Times New Roman" w:eastAsia="方正仿宋_GBK" w:cs="Times New Roman"/>
          <w:color w:val="000000" w:themeColor="text1"/>
          <w:sz w:val="32"/>
          <w:szCs w:val="32"/>
          <w:highlight w:val="none"/>
          <w:u w:val="single"/>
        </w:rPr>
        <w:t>LKYD—2022—009</w:t>
      </w:r>
      <w:r>
        <w:rPr>
          <w:rFonts w:ascii="Times New Roman" w:hAnsi="Times New Roman" w:eastAsia="方正仿宋_GBK" w:cs="Times New Roman"/>
          <w:sz w:val="32"/>
          <w:szCs w:val="20"/>
          <w:highlight w:val="none"/>
        </w:rPr>
        <w:t>号地块的国有建设用地使用权。现将有关事项确认如下：</w:t>
      </w:r>
    </w:p>
    <w:p>
      <w:pPr>
        <w:widowControl/>
        <w:spacing w:line="520" w:lineRule="exact"/>
        <w:rPr>
          <w:rFonts w:ascii="Times New Roman" w:hAnsi="Times New Roman" w:eastAsia="方正仿宋_GBK" w:cs="Times New Roman"/>
          <w:sz w:val="32"/>
          <w:szCs w:val="20"/>
          <w:highlight w:val="none"/>
        </w:rPr>
      </w:pPr>
      <w:r>
        <w:rPr>
          <w:rFonts w:ascii="Times New Roman" w:hAnsi="Times New Roman" w:eastAsia="方正仿宋_GBK" w:cs="Times New Roman"/>
          <w:sz w:val="32"/>
          <w:szCs w:val="20"/>
          <w:highlight w:val="none"/>
        </w:rPr>
        <w:t xml:space="preserve">    该地块位于</w:t>
      </w:r>
      <w:r>
        <w:rPr>
          <w:rFonts w:ascii="Times New Roman" w:hAnsi="Times New Roman" w:eastAsia="方正仿宋简体"/>
          <w:sz w:val="32"/>
          <w:szCs w:val="32"/>
          <w:highlight w:val="none"/>
          <w:u w:val="single"/>
        </w:rPr>
        <w:t>雁溪湖综合服务组团</w:t>
      </w:r>
      <w:r>
        <w:rPr>
          <w:rFonts w:ascii="Times New Roman" w:hAnsi="Times New Roman" w:eastAsia="方正仿宋_GBK" w:cs="Times New Roman"/>
          <w:sz w:val="32"/>
          <w:szCs w:val="20"/>
          <w:highlight w:val="none"/>
        </w:rPr>
        <w:t>，用地性质为</w:t>
      </w:r>
      <w:r>
        <w:rPr>
          <w:rFonts w:hint="eastAsia" w:ascii="Times New Roman" w:hAnsi="Times New Roman" w:eastAsia="方正仿宋简体"/>
          <w:sz w:val="32"/>
          <w:szCs w:val="32"/>
          <w:highlight w:val="none"/>
          <w:u w:val="single"/>
        </w:rPr>
        <w:t>城镇</w:t>
      </w:r>
      <w:r>
        <w:rPr>
          <w:rFonts w:ascii="Times New Roman" w:hAnsi="Times New Roman" w:eastAsia="方正仿宋简体"/>
          <w:sz w:val="32"/>
          <w:szCs w:val="32"/>
          <w:highlight w:val="none"/>
          <w:u w:val="single"/>
        </w:rPr>
        <w:t>住宅用地</w:t>
      </w:r>
      <w:r>
        <w:rPr>
          <w:rFonts w:ascii="Times New Roman" w:hAnsi="Times New Roman" w:eastAsia="方正仿宋_GBK" w:cs="Times New Roman"/>
          <w:sz w:val="32"/>
          <w:szCs w:val="20"/>
          <w:highlight w:val="none"/>
        </w:rPr>
        <w:t>，规划净用地面积为</w:t>
      </w:r>
      <w:r>
        <w:rPr>
          <w:rFonts w:ascii="Times New Roman" w:hAnsi="Times New Roman" w:eastAsia="方正仿宋简体"/>
          <w:sz w:val="32"/>
          <w:szCs w:val="32"/>
          <w:highlight w:val="none"/>
          <w:u w:val="single"/>
        </w:rPr>
        <w:t>85229.51</w:t>
      </w:r>
      <w:r>
        <w:rPr>
          <w:rFonts w:ascii="Times New Roman" w:hAnsi="Times New Roman" w:eastAsia="方正仿宋_GBK" w:cs="Times New Roman"/>
          <w:sz w:val="32"/>
          <w:szCs w:val="20"/>
          <w:highlight w:val="none"/>
        </w:rPr>
        <w:t>平方米，拍卖起叫价为</w:t>
      </w:r>
      <w:r>
        <w:rPr>
          <w:rFonts w:hint="default" w:ascii="Times New Roman" w:hAnsi="Times New Roman" w:eastAsia="方正仿宋简体"/>
          <w:bCs/>
          <w:sz w:val="32"/>
          <w:szCs w:val="32"/>
          <w:highlight w:val="none"/>
          <w:u w:val="single"/>
        </w:rPr>
        <w:t>19820</w:t>
      </w:r>
      <w:r>
        <w:rPr>
          <w:rFonts w:ascii="Times New Roman" w:hAnsi="Times New Roman" w:eastAsia="方正仿宋_GBK" w:cs="Times New Roman"/>
          <w:sz w:val="32"/>
          <w:szCs w:val="20"/>
          <w:highlight w:val="none"/>
        </w:rPr>
        <w:t>万元，拍卖成交价为</w:t>
      </w:r>
      <w:r>
        <w:rPr>
          <w:rFonts w:hint="eastAsia" w:ascii="Times New Roman" w:hAnsi="Times New Roman" w:eastAsia="方正仿宋_GBK" w:cs="Times New Roman"/>
          <w:sz w:val="32"/>
          <w:szCs w:val="20"/>
          <w:highlight w:val="none"/>
          <w:u w:val="single"/>
        </w:rPr>
        <w:t xml:space="preserve"> </w:t>
      </w:r>
      <w:r>
        <w:rPr>
          <w:rFonts w:hint="eastAsia" w:ascii="Times New Roman" w:hAnsi="Times New Roman" w:eastAsia="方正仿宋_GBK" w:cs="Times New Roman"/>
          <w:sz w:val="32"/>
          <w:szCs w:val="20"/>
          <w:highlight w:val="none"/>
          <w:u w:val="single"/>
          <w:lang w:val="en-US" w:eastAsia="zh-CN"/>
        </w:rPr>
        <w:t xml:space="preserve">  </w:t>
      </w:r>
      <w:r>
        <w:rPr>
          <w:rFonts w:hint="eastAsia" w:ascii="Times New Roman" w:hAnsi="Times New Roman" w:eastAsia="方正仿宋_GBK" w:cs="Times New Roman"/>
          <w:sz w:val="32"/>
          <w:szCs w:val="20"/>
          <w:highlight w:val="none"/>
          <w:u w:val="single"/>
        </w:rPr>
        <w:t xml:space="preserve">  </w:t>
      </w:r>
      <w:r>
        <w:rPr>
          <w:rFonts w:ascii="Times New Roman" w:hAnsi="Times New Roman" w:eastAsia="方正仿宋_GBK" w:cs="Times New Roman"/>
          <w:sz w:val="32"/>
          <w:szCs w:val="20"/>
          <w:highlight w:val="none"/>
        </w:rPr>
        <w:t>万元，该地块涉及的其他有关事宜按拍卖文</w:t>
      </w:r>
      <w:r>
        <w:rPr>
          <w:rFonts w:hint="eastAsia" w:ascii="Times New Roman" w:hAnsi="Times New Roman" w:eastAsia="方正仿宋_GBK" w:cs="Times New Roman"/>
          <w:sz w:val="32"/>
          <w:szCs w:val="20"/>
          <w:highlight w:val="none"/>
        </w:rPr>
        <w:t>件相关</w:t>
      </w:r>
      <w:r>
        <w:rPr>
          <w:rFonts w:ascii="Times New Roman" w:hAnsi="Times New Roman" w:eastAsia="方正仿宋_GBK" w:cs="Times New Roman"/>
          <w:sz w:val="32"/>
          <w:szCs w:val="20"/>
          <w:highlight w:val="none"/>
        </w:rPr>
        <w:t>约定执行。</w:t>
      </w:r>
    </w:p>
    <w:p>
      <w:pPr>
        <w:widowControl/>
        <w:spacing w:line="520" w:lineRule="exact"/>
        <w:ind w:firstLine="640" w:firstLineChars="200"/>
        <w:rPr>
          <w:rFonts w:ascii="Times New Roman" w:hAnsi="Times New Roman" w:eastAsia="方正仿宋_GBK" w:cs="Times New Roman"/>
          <w:sz w:val="32"/>
          <w:szCs w:val="20"/>
          <w:highlight w:val="none"/>
        </w:rPr>
      </w:pPr>
      <w:r>
        <w:rPr>
          <w:rFonts w:ascii="Times New Roman" w:hAnsi="Times New Roman" w:eastAsia="方正仿宋_GBK" w:cs="Times New Roman"/>
          <w:sz w:val="32"/>
          <w:szCs w:val="20"/>
          <w:highlight w:val="none"/>
        </w:rPr>
        <w:t>竞得人</w:t>
      </w:r>
      <w:r>
        <w:rPr>
          <w:rFonts w:hint="eastAsia" w:ascii="Times New Roman" w:hAnsi="Times New Roman" w:eastAsia="方正仿宋_GBK" w:cs="Times New Roman"/>
          <w:sz w:val="32"/>
          <w:szCs w:val="20"/>
          <w:highlight w:val="none"/>
        </w:rPr>
        <w:t>交</w:t>
      </w:r>
      <w:r>
        <w:rPr>
          <w:rFonts w:ascii="Times New Roman" w:hAnsi="Times New Roman" w:eastAsia="方正仿宋_GBK" w:cs="Times New Roman"/>
          <w:sz w:val="32"/>
          <w:szCs w:val="20"/>
          <w:highlight w:val="none"/>
        </w:rPr>
        <w:t>纳的竞买保证金自动转作</w:t>
      </w:r>
      <w:r>
        <w:rPr>
          <w:rFonts w:hint="eastAsia" w:ascii="Times New Roman" w:hAnsi="Times New Roman" w:eastAsia="方正仿宋_GBK" w:cs="Times New Roman"/>
          <w:sz w:val="32"/>
          <w:szCs w:val="20"/>
          <w:highlight w:val="none"/>
          <w:lang w:eastAsia="zh-CN"/>
        </w:rPr>
        <w:t>该</w:t>
      </w:r>
      <w:r>
        <w:rPr>
          <w:rFonts w:ascii="Times New Roman" w:hAnsi="Times New Roman" w:eastAsia="方正仿宋_GBK" w:cs="Times New Roman"/>
          <w:sz w:val="32"/>
          <w:szCs w:val="20"/>
          <w:highlight w:val="none"/>
        </w:rPr>
        <w:t>受让地块的定金，</w:t>
      </w:r>
      <w:r>
        <w:rPr>
          <w:rFonts w:hint="eastAsia" w:ascii="Times New Roman" w:hAnsi="Times New Roman" w:eastAsia="方正仿宋_GBK" w:cs="Times New Roman"/>
          <w:sz w:val="32"/>
          <w:szCs w:val="20"/>
          <w:highlight w:val="none"/>
          <w:u w:val="single"/>
          <w:lang w:eastAsia="zh-CN"/>
        </w:rPr>
        <w:t>竞</w:t>
      </w:r>
      <w:r>
        <w:rPr>
          <w:rFonts w:hint="eastAsia" w:ascii="Times New Roman" w:hAnsi="Times New Roman" w:eastAsia="方正仿宋_GBK" w:cs="Times New Roman"/>
          <w:sz w:val="32"/>
          <w:szCs w:val="20"/>
          <w:highlight w:val="none"/>
          <w:u w:val="single"/>
          <w:lang w:val="en-US" w:eastAsia="zh-CN"/>
        </w:rPr>
        <w:t xml:space="preserve"> </w:t>
      </w:r>
      <w:r>
        <w:rPr>
          <w:rFonts w:hint="eastAsia" w:ascii="Times New Roman" w:hAnsi="Times New Roman" w:eastAsia="方正仿宋_GBK" w:cs="Times New Roman"/>
          <w:sz w:val="32"/>
          <w:szCs w:val="20"/>
          <w:highlight w:val="none"/>
          <w:u w:val="single"/>
          <w:lang w:eastAsia="zh-CN"/>
        </w:rPr>
        <w:t>得</w:t>
      </w:r>
      <w:r>
        <w:rPr>
          <w:rFonts w:hint="eastAsia" w:ascii="Times New Roman" w:hAnsi="Times New Roman" w:eastAsia="方正仿宋_GBK" w:cs="Times New Roman"/>
          <w:sz w:val="32"/>
          <w:szCs w:val="20"/>
          <w:highlight w:val="none"/>
          <w:u w:val="single"/>
          <w:lang w:val="en-US" w:eastAsia="zh-CN"/>
        </w:rPr>
        <w:t xml:space="preserve"> </w:t>
      </w:r>
      <w:r>
        <w:rPr>
          <w:rFonts w:hint="eastAsia" w:ascii="Times New Roman" w:hAnsi="Times New Roman" w:eastAsia="方正仿宋_GBK" w:cs="Times New Roman"/>
          <w:sz w:val="32"/>
          <w:szCs w:val="20"/>
          <w:highlight w:val="none"/>
          <w:u w:val="single"/>
          <w:lang w:eastAsia="zh-CN"/>
        </w:rPr>
        <w:t>人</w:t>
      </w:r>
      <w:r>
        <w:rPr>
          <w:rFonts w:hint="eastAsia" w:ascii="Times New Roman" w:hAnsi="Times New Roman" w:eastAsia="方正仿宋_GBK" w:cs="Times New Roman"/>
          <w:sz w:val="32"/>
          <w:szCs w:val="20"/>
          <w:highlight w:val="none"/>
          <w:u w:val="single"/>
          <w:lang w:val="en-US" w:eastAsia="zh-CN"/>
        </w:rPr>
        <w:t xml:space="preserve"> </w:t>
      </w:r>
      <w:r>
        <w:rPr>
          <w:rFonts w:ascii="Times New Roman" w:hAnsi="Times New Roman" w:eastAsia="方正仿宋_GBK" w:cs="Times New Roman"/>
          <w:sz w:val="32"/>
          <w:szCs w:val="32"/>
          <w:highlight w:val="none"/>
        </w:rPr>
        <w:t>应</w:t>
      </w:r>
      <w:r>
        <w:rPr>
          <w:rFonts w:ascii="Times New Roman" w:hAnsi="Times New Roman" w:eastAsia="方正仿宋_GBK" w:cs="Times New Roman"/>
          <w:sz w:val="32"/>
          <w:szCs w:val="20"/>
          <w:highlight w:val="none"/>
        </w:rPr>
        <w:t>当于</w:t>
      </w:r>
      <w:r>
        <w:rPr>
          <w:rFonts w:hint="eastAsia" w:ascii="Times New Roman" w:hAnsi="Times New Roman" w:eastAsia="方正仿宋_GBK" w:cs="Times New Roman"/>
          <w:sz w:val="32"/>
          <w:szCs w:val="20"/>
          <w:highlight w:val="none"/>
          <w:u w:val="single"/>
        </w:rPr>
        <w:t xml:space="preserve"> </w:t>
      </w:r>
      <w:r>
        <w:rPr>
          <w:rFonts w:hint="eastAsia" w:ascii="Times New Roman" w:hAnsi="Times New Roman" w:eastAsia="方正仿宋_GBK" w:cs="Times New Roman"/>
          <w:sz w:val="32"/>
          <w:szCs w:val="20"/>
          <w:highlight w:val="none"/>
          <w:u w:val="single"/>
          <w:lang w:val="en-US" w:eastAsia="zh-CN"/>
        </w:rPr>
        <w:t>2022</w:t>
      </w:r>
      <w:r>
        <w:rPr>
          <w:rFonts w:ascii="Times New Roman" w:hAnsi="Times New Roman" w:eastAsia="方正仿宋_GBK" w:cs="Times New Roman"/>
          <w:sz w:val="32"/>
          <w:szCs w:val="20"/>
          <w:highlight w:val="none"/>
        </w:rPr>
        <w:t>年</w:t>
      </w:r>
      <w:r>
        <w:rPr>
          <w:rFonts w:hint="eastAsia" w:ascii="Times New Roman" w:hAnsi="Times New Roman" w:eastAsia="方正仿宋_GBK" w:cs="Times New Roman"/>
          <w:sz w:val="32"/>
          <w:szCs w:val="20"/>
          <w:highlight w:val="none"/>
          <w:u w:val="single"/>
        </w:rPr>
        <w:t xml:space="preserve"> </w:t>
      </w:r>
      <w:r>
        <w:rPr>
          <w:rFonts w:hint="eastAsia" w:ascii="Times New Roman" w:hAnsi="Times New Roman" w:eastAsia="方正仿宋_GBK" w:cs="Times New Roman"/>
          <w:sz w:val="32"/>
          <w:szCs w:val="20"/>
          <w:highlight w:val="none"/>
          <w:u w:val="single"/>
          <w:lang w:val="en-US" w:eastAsia="zh-CN"/>
        </w:rPr>
        <w:t>8</w:t>
      </w:r>
      <w:r>
        <w:rPr>
          <w:rFonts w:hint="eastAsia" w:ascii="Times New Roman" w:hAnsi="Times New Roman" w:eastAsia="方正仿宋_GBK" w:cs="Times New Roman"/>
          <w:sz w:val="32"/>
          <w:szCs w:val="20"/>
          <w:highlight w:val="none"/>
          <w:u w:val="single"/>
        </w:rPr>
        <w:t xml:space="preserve"> </w:t>
      </w:r>
      <w:r>
        <w:rPr>
          <w:rFonts w:ascii="Times New Roman" w:hAnsi="Times New Roman" w:eastAsia="方正仿宋_GBK" w:cs="Times New Roman"/>
          <w:sz w:val="32"/>
          <w:szCs w:val="20"/>
          <w:highlight w:val="none"/>
        </w:rPr>
        <w:t>月</w:t>
      </w:r>
      <w:r>
        <w:rPr>
          <w:rFonts w:hint="eastAsia" w:ascii="Times New Roman" w:hAnsi="Times New Roman" w:eastAsia="方正仿宋_GBK" w:cs="Times New Roman"/>
          <w:sz w:val="32"/>
          <w:szCs w:val="20"/>
          <w:highlight w:val="none"/>
          <w:u w:val="single"/>
        </w:rPr>
        <w:t xml:space="preserve"> </w:t>
      </w:r>
      <w:r>
        <w:rPr>
          <w:rFonts w:hint="eastAsia" w:ascii="Times New Roman" w:hAnsi="Times New Roman" w:eastAsia="方正仿宋_GBK" w:cs="Times New Roman"/>
          <w:sz w:val="32"/>
          <w:szCs w:val="20"/>
          <w:highlight w:val="none"/>
          <w:u w:val="single"/>
          <w:lang w:val="en-US" w:eastAsia="zh-CN"/>
        </w:rPr>
        <w:t>16</w:t>
      </w:r>
      <w:r>
        <w:rPr>
          <w:rFonts w:hint="eastAsia" w:ascii="Times New Roman" w:hAnsi="Times New Roman" w:eastAsia="方正仿宋_GBK" w:cs="Times New Roman"/>
          <w:sz w:val="32"/>
          <w:szCs w:val="20"/>
          <w:highlight w:val="none"/>
          <w:u w:val="single"/>
        </w:rPr>
        <w:t xml:space="preserve"> </w:t>
      </w:r>
      <w:r>
        <w:rPr>
          <w:rFonts w:ascii="Times New Roman" w:hAnsi="Times New Roman" w:eastAsia="方正仿宋_GBK" w:cs="Times New Roman"/>
          <w:sz w:val="32"/>
          <w:szCs w:val="20"/>
          <w:highlight w:val="none"/>
        </w:rPr>
        <w:t>日之前另行缴纳地产交易手续费</w:t>
      </w:r>
      <w:r>
        <w:rPr>
          <w:rFonts w:hint="eastAsia" w:ascii="Times New Roman" w:hAnsi="Times New Roman" w:eastAsia="方正仿宋_GBK" w:cs="Times New Roman"/>
          <w:sz w:val="32"/>
          <w:szCs w:val="20"/>
          <w:highlight w:val="none"/>
          <w:u w:val="single"/>
        </w:rPr>
        <w:t xml:space="preserve">    </w:t>
      </w:r>
      <w:r>
        <w:rPr>
          <w:rFonts w:ascii="Times New Roman" w:hAnsi="Times New Roman" w:eastAsia="方正仿宋_GBK" w:cs="Times New Roman"/>
          <w:sz w:val="32"/>
          <w:szCs w:val="20"/>
          <w:highlight w:val="none"/>
        </w:rPr>
        <w:t>万元，</w:t>
      </w:r>
      <w:r>
        <w:rPr>
          <w:rFonts w:hint="eastAsia" w:ascii="Times New Roman" w:hAnsi="Times New Roman" w:eastAsia="方正仿宋_GBK" w:cs="Times New Roman"/>
          <w:sz w:val="32"/>
          <w:szCs w:val="20"/>
          <w:highlight w:val="none"/>
        </w:rPr>
        <w:t>于</w:t>
      </w:r>
      <w:r>
        <w:rPr>
          <w:rFonts w:hint="eastAsia" w:ascii="Times New Roman" w:hAnsi="Times New Roman" w:eastAsia="方正仿宋_GBK" w:cs="Times New Roman"/>
          <w:sz w:val="32"/>
          <w:szCs w:val="20"/>
          <w:highlight w:val="none"/>
          <w:u w:val="single"/>
        </w:rPr>
        <w:t xml:space="preserve"> </w:t>
      </w:r>
      <w:r>
        <w:rPr>
          <w:rFonts w:hint="eastAsia" w:ascii="Times New Roman" w:hAnsi="Times New Roman" w:eastAsia="方正仿宋_GBK" w:cs="Times New Roman"/>
          <w:sz w:val="32"/>
          <w:szCs w:val="20"/>
          <w:highlight w:val="none"/>
          <w:u w:val="single"/>
          <w:lang w:val="en-US" w:eastAsia="zh-CN"/>
        </w:rPr>
        <w:t>2022</w:t>
      </w:r>
      <w:r>
        <w:rPr>
          <w:rFonts w:hint="eastAsia" w:ascii="Times New Roman" w:hAnsi="Times New Roman" w:eastAsia="方正仿宋_GBK" w:cs="Times New Roman"/>
          <w:sz w:val="32"/>
          <w:szCs w:val="20"/>
          <w:highlight w:val="none"/>
        </w:rPr>
        <w:t>年</w:t>
      </w:r>
      <w:r>
        <w:rPr>
          <w:rFonts w:hint="eastAsia" w:ascii="Times New Roman" w:hAnsi="Times New Roman" w:eastAsia="方正仿宋_GBK" w:cs="Times New Roman"/>
          <w:sz w:val="32"/>
          <w:szCs w:val="20"/>
          <w:highlight w:val="none"/>
          <w:u w:val="single"/>
        </w:rPr>
        <w:t xml:space="preserve"> </w:t>
      </w:r>
      <w:r>
        <w:rPr>
          <w:rFonts w:hint="eastAsia" w:ascii="Times New Roman" w:hAnsi="Times New Roman" w:eastAsia="方正仿宋_GBK" w:cs="Times New Roman"/>
          <w:sz w:val="32"/>
          <w:szCs w:val="20"/>
          <w:highlight w:val="none"/>
          <w:u w:val="single"/>
          <w:lang w:val="en-US" w:eastAsia="zh-CN"/>
        </w:rPr>
        <w:t>8</w:t>
      </w:r>
      <w:r>
        <w:rPr>
          <w:rFonts w:hint="eastAsia" w:ascii="Times New Roman" w:hAnsi="Times New Roman" w:eastAsia="方正仿宋_GBK" w:cs="Times New Roman"/>
          <w:sz w:val="32"/>
          <w:szCs w:val="20"/>
          <w:highlight w:val="none"/>
        </w:rPr>
        <w:t>月</w:t>
      </w:r>
      <w:r>
        <w:rPr>
          <w:rFonts w:hint="eastAsia" w:ascii="Times New Roman" w:hAnsi="Times New Roman" w:eastAsia="方正仿宋_GBK" w:cs="Times New Roman"/>
          <w:sz w:val="32"/>
          <w:szCs w:val="20"/>
          <w:highlight w:val="none"/>
          <w:u w:val="single"/>
        </w:rPr>
        <w:t xml:space="preserve"> </w:t>
      </w:r>
      <w:r>
        <w:rPr>
          <w:rFonts w:hint="eastAsia" w:ascii="Times New Roman" w:hAnsi="Times New Roman" w:eastAsia="方正仿宋_GBK" w:cs="Times New Roman"/>
          <w:sz w:val="32"/>
          <w:szCs w:val="20"/>
          <w:highlight w:val="none"/>
          <w:u w:val="single"/>
          <w:lang w:val="en-US" w:eastAsia="zh-CN"/>
        </w:rPr>
        <w:t>23</w:t>
      </w:r>
      <w:r>
        <w:rPr>
          <w:rFonts w:hint="eastAsia" w:ascii="Times New Roman" w:hAnsi="Times New Roman" w:eastAsia="方正仿宋_GBK" w:cs="Times New Roman"/>
          <w:sz w:val="32"/>
          <w:szCs w:val="20"/>
          <w:highlight w:val="none"/>
          <w:u w:val="single"/>
        </w:rPr>
        <w:t xml:space="preserve"> </w:t>
      </w:r>
      <w:r>
        <w:rPr>
          <w:rFonts w:hint="eastAsia" w:ascii="Times New Roman" w:hAnsi="Times New Roman" w:eastAsia="方正仿宋_GBK" w:cs="Times New Roman"/>
          <w:sz w:val="32"/>
          <w:szCs w:val="20"/>
          <w:highlight w:val="none"/>
        </w:rPr>
        <w:t>日之前</w:t>
      </w:r>
      <w:r>
        <w:rPr>
          <w:rFonts w:ascii="Times New Roman" w:hAnsi="Times New Roman" w:eastAsia="方正仿宋_GBK" w:cs="Times New Roman"/>
          <w:sz w:val="32"/>
          <w:szCs w:val="20"/>
          <w:highlight w:val="none"/>
        </w:rPr>
        <w:t>持本《成交确认书》到</w:t>
      </w:r>
      <w:r>
        <w:rPr>
          <w:rFonts w:hint="eastAsia" w:ascii="Times New Roman" w:hAnsi="Times New Roman" w:eastAsia="方正仿宋_GBK" w:cs="Times New Roman"/>
          <w:sz w:val="32"/>
          <w:szCs w:val="20"/>
          <w:highlight w:val="none"/>
        </w:rPr>
        <w:t>资阳市临空经济区管理委员会</w:t>
      </w:r>
      <w:r>
        <w:rPr>
          <w:rFonts w:ascii="Times New Roman" w:hAnsi="Times New Roman" w:eastAsia="方正仿宋_GBK" w:cs="Times New Roman"/>
          <w:sz w:val="32"/>
          <w:szCs w:val="20"/>
          <w:highlight w:val="none"/>
        </w:rPr>
        <w:t>签订《国有建设用地使用权出让合同》。不按期签订《国有建设用地使用权出让合同》的，</w:t>
      </w:r>
      <w:r>
        <w:rPr>
          <w:rFonts w:hint="eastAsia" w:ascii="Times New Roman" w:hAnsi="Times New Roman" w:eastAsia="方正仿宋_GBK" w:cs="Times New Roman"/>
          <w:sz w:val="32"/>
          <w:szCs w:val="20"/>
          <w:highlight w:val="none"/>
        </w:rPr>
        <w:t>视为</w:t>
      </w:r>
      <w:r>
        <w:rPr>
          <w:rFonts w:ascii="Times New Roman" w:hAnsi="Times New Roman" w:eastAsia="方正仿宋_GBK" w:cs="Times New Roman"/>
          <w:sz w:val="32"/>
          <w:szCs w:val="20"/>
          <w:highlight w:val="none"/>
        </w:rPr>
        <w:t>竞得人放弃竞得资格，</w:t>
      </w:r>
      <w:r>
        <w:rPr>
          <w:rFonts w:hint="eastAsia" w:ascii="Times New Roman" w:hAnsi="Times New Roman" w:eastAsia="方正仿宋_GBK" w:cs="Times New Roman"/>
          <w:sz w:val="32"/>
          <w:szCs w:val="20"/>
          <w:highlight w:val="none"/>
        </w:rPr>
        <w:t>拍卖人可取消其竞得人资格，竞得人交纳的竞买保证金自动转作的定金及已缴纳的地产交易手续费均不予退还，造成损失的，</w:t>
      </w:r>
      <w:r>
        <w:rPr>
          <w:rFonts w:ascii="Times New Roman" w:hAnsi="Times New Roman" w:eastAsia="方正仿宋_GBK" w:cs="Times New Roman"/>
          <w:sz w:val="32"/>
          <w:szCs w:val="20"/>
          <w:highlight w:val="none"/>
        </w:rPr>
        <w:t>竞得人</w:t>
      </w:r>
      <w:r>
        <w:rPr>
          <w:rFonts w:hint="eastAsia" w:ascii="Times New Roman" w:hAnsi="Times New Roman" w:eastAsia="方正仿宋_GBK" w:cs="Times New Roman"/>
          <w:sz w:val="32"/>
          <w:szCs w:val="20"/>
          <w:highlight w:val="none"/>
        </w:rPr>
        <w:t>还</w:t>
      </w:r>
      <w:r>
        <w:rPr>
          <w:rFonts w:ascii="Times New Roman" w:hAnsi="Times New Roman" w:eastAsia="方正仿宋_GBK" w:cs="Times New Roman"/>
          <w:sz w:val="32"/>
          <w:szCs w:val="20"/>
          <w:highlight w:val="none"/>
        </w:rPr>
        <w:t>应</w:t>
      </w:r>
      <w:r>
        <w:rPr>
          <w:rFonts w:hint="eastAsia" w:ascii="Times New Roman" w:hAnsi="Times New Roman" w:eastAsia="方正仿宋_GBK" w:cs="Times New Roman"/>
          <w:sz w:val="32"/>
          <w:szCs w:val="20"/>
          <w:highlight w:val="none"/>
        </w:rPr>
        <w:t>依法</w:t>
      </w:r>
      <w:r>
        <w:rPr>
          <w:rFonts w:ascii="Times New Roman" w:hAnsi="Times New Roman" w:eastAsia="方正仿宋_GBK" w:cs="Times New Roman"/>
          <w:sz w:val="32"/>
          <w:szCs w:val="20"/>
          <w:highlight w:val="none"/>
        </w:rPr>
        <w:t>承担相应的法律责任。</w:t>
      </w:r>
    </w:p>
    <w:p>
      <w:pPr>
        <w:widowControl/>
        <w:spacing w:line="520" w:lineRule="exact"/>
        <w:ind w:firstLine="640" w:firstLineChars="200"/>
        <w:rPr>
          <w:rFonts w:ascii="Times New Roman" w:hAnsi="Times New Roman" w:eastAsia="方正仿宋_GBK" w:cs="Times New Roman"/>
          <w:sz w:val="32"/>
          <w:szCs w:val="20"/>
          <w:highlight w:val="none"/>
        </w:rPr>
      </w:pPr>
      <w:r>
        <w:rPr>
          <w:rFonts w:ascii="Times New Roman" w:hAnsi="Times New Roman" w:eastAsia="方正仿宋_GBK" w:cs="Times New Roman"/>
          <w:sz w:val="32"/>
          <w:szCs w:val="20"/>
          <w:highlight w:val="none"/>
        </w:rPr>
        <w:t>本《成交确认书》一式</w:t>
      </w:r>
      <w:r>
        <w:rPr>
          <w:rFonts w:hint="eastAsia" w:ascii="Times New Roman" w:hAnsi="Times New Roman" w:eastAsia="方正仿宋_GBK" w:cs="Times New Roman"/>
          <w:b/>
          <w:bCs/>
          <w:sz w:val="32"/>
          <w:szCs w:val="20"/>
          <w:highlight w:val="none"/>
          <w:u w:val="single"/>
        </w:rPr>
        <w:t>伍</w:t>
      </w:r>
      <w:r>
        <w:rPr>
          <w:rFonts w:ascii="Times New Roman" w:hAnsi="Times New Roman" w:eastAsia="方正仿宋_GBK" w:cs="Times New Roman"/>
          <w:sz w:val="32"/>
          <w:szCs w:val="20"/>
          <w:highlight w:val="none"/>
        </w:rPr>
        <w:t>份，拍卖人执</w:t>
      </w:r>
      <w:r>
        <w:rPr>
          <w:rFonts w:hint="eastAsia" w:ascii="方正仿宋_GBK" w:hAnsi="方正仿宋_GBK" w:eastAsia="方正仿宋_GBK" w:cs="方正仿宋_GBK"/>
          <w:b/>
          <w:bCs/>
          <w:sz w:val="32"/>
          <w:szCs w:val="32"/>
          <w:highlight w:val="none"/>
          <w:u w:val="single"/>
        </w:rPr>
        <w:fldChar w:fldCharType="begin"/>
      </w:r>
      <w:r>
        <w:rPr>
          <w:rFonts w:hint="eastAsia" w:ascii="方正仿宋_GBK" w:hAnsi="方正仿宋_GBK" w:eastAsia="方正仿宋_GBK" w:cs="方正仿宋_GBK"/>
          <w:b/>
          <w:bCs/>
          <w:sz w:val="32"/>
          <w:szCs w:val="32"/>
          <w:highlight w:val="none"/>
          <w:u w:val="single"/>
        </w:rPr>
        <w:instrText xml:space="preserve"> = 1 \* CHINESENUM2 \* MERGEFORMAT </w:instrText>
      </w:r>
      <w:r>
        <w:rPr>
          <w:rFonts w:hint="eastAsia" w:ascii="方正仿宋_GBK" w:hAnsi="方正仿宋_GBK" w:eastAsia="方正仿宋_GBK" w:cs="方正仿宋_GBK"/>
          <w:b/>
          <w:bCs/>
          <w:sz w:val="32"/>
          <w:szCs w:val="32"/>
          <w:highlight w:val="none"/>
          <w:u w:val="single"/>
        </w:rPr>
        <w:fldChar w:fldCharType="separate"/>
      </w:r>
      <w:r>
        <w:rPr>
          <w:rFonts w:hint="eastAsia" w:ascii="方正仿宋_GBK" w:hAnsi="方正仿宋_GBK" w:eastAsia="方正仿宋_GBK" w:cs="方正仿宋_GBK"/>
          <w:b/>
          <w:bCs/>
          <w:sz w:val="32"/>
          <w:szCs w:val="32"/>
          <w:highlight w:val="none"/>
          <w:u w:val="single"/>
        </w:rPr>
        <w:t>壹</w:t>
      </w:r>
      <w:r>
        <w:rPr>
          <w:rFonts w:hint="eastAsia" w:ascii="方正仿宋_GBK" w:hAnsi="方正仿宋_GBK" w:eastAsia="方正仿宋_GBK" w:cs="方正仿宋_GBK"/>
          <w:b/>
          <w:bCs/>
          <w:sz w:val="32"/>
          <w:szCs w:val="32"/>
          <w:highlight w:val="none"/>
          <w:u w:val="single"/>
        </w:rPr>
        <w:fldChar w:fldCharType="end"/>
      </w:r>
      <w:r>
        <w:rPr>
          <w:rFonts w:ascii="Times New Roman" w:hAnsi="Times New Roman" w:eastAsia="方正仿宋_GBK" w:cs="Times New Roman"/>
          <w:sz w:val="32"/>
          <w:szCs w:val="20"/>
          <w:highlight w:val="none"/>
        </w:rPr>
        <w:t>份，</w:t>
      </w:r>
      <w:r>
        <w:rPr>
          <w:rFonts w:hint="eastAsia" w:ascii="Times New Roman" w:hAnsi="Times New Roman" w:eastAsia="方正仿宋_GBK" w:cs="Times New Roman"/>
          <w:sz w:val="32"/>
          <w:szCs w:val="20"/>
          <w:highlight w:val="none"/>
        </w:rPr>
        <w:t>出让人</w:t>
      </w:r>
      <w:r>
        <w:rPr>
          <w:rFonts w:ascii="Times New Roman" w:hAnsi="Times New Roman" w:eastAsia="方正仿宋_GBK" w:cs="Times New Roman"/>
          <w:sz w:val="32"/>
          <w:szCs w:val="20"/>
          <w:highlight w:val="none"/>
        </w:rPr>
        <w:t>执</w:t>
      </w:r>
      <w:r>
        <w:rPr>
          <w:rFonts w:hint="eastAsia" w:ascii="方正仿宋_GBK" w:hAnsi="方正仿宋_GBK" w:eastAsia="方正仿宋_GBK" w:cs="方正仿宋_GBK"/>
          <w:b/>
          <w:bCs/>
          <w:sz w:val="32"/>
          <w:szCs w:val="32"/>
          <w:highlight w:val="none"/>
          <w:u w:val="single"/>
        </w:rPr>
        <w:fldChar w:fldCharType="begin"/>
      </w:r>
      <w:r>
        <w:rPr>
          <w:rFonts w:hint="eastAsia" w:ascii="方正仿宋_GBK" w:hAnsi="方正仿宋_GBK" w:eastAsia="方正仿宋_GBK" w:cs="方正仿宋_GBK"/>
          <w:b/>
          <w:bCs/>
          <w:sz w:val="32"/>
          <w:szCs w:val="32"/>
          <w:highlight w:val="none"/>
          <w:u w:val="single"/>
        </w:rPr>
        <w:instrText xml:space="preserve"> = 1 \* CHINESENUM2 \* MERGEFORMAT </w:instrText>
      </w:r>
      <w:r>
        <w:rPr>
          <w:rFonts w:hint="eastAsia" w:ascii="方正仿宋_GBK" w:hAnsi="方正仿宋_GBK" w:eastAsia="方正仿宋_GBK" w:cs="方正仿宋_GBK"/>
          <w:b/>
          <w:bCs/>
          <w:sz w:val="32"/>
          <w:szCs w:val="32"/>
          <w:highlight w:val="none"/>
          <w:u w:val="single"/>
        </w:rPr>
        <w:fldChar w:fldCharType="separate"/>
      </w:r>
      <w:r>
        <w:rPr>
          <w:rFonts w:hint="eastAsia" w:ascii="方正仿宋_GBK" w:hAnsi="方正仿宋_GBK" w:eastAsia="方正仿宋_GBK" w:cs="方正仿宋_GBK"/>
          <w:b/>
          <w:bCs/>
          <w:sz w:val="32"/>
          <w:szCs w:val="32"/>
          <w:highlight w:val="none"/>
          <w:u w:val="single"/>
        </w:rPr>
        <w:t>壹</w:t>
      </w:r>
      <w:r>
        <w:rPr>
          <w:rFonts w:hint="eastAsia" w:ascii="方正仿宋_GBK" w:hAnsi="方正仿宋_GBK" w:eastAsia="方正仿宋_GBK" w:cs="方正仿宋_GBK"/>
          <w:b/>
          <w:bCs/>
          <w:sz w:val="32"/>
          <w:szCs w:val="32"/>
          <w:highlight w:val="none"/>
          <w:u w:val="single"/>
        </w:rPr>
        <w:fldChar w:fldCharType="end"/>
      </w:r>
      <w:r>
        <w:rPr>
          <w:rFonts w:ascii="Times New Roman" w:hAnsi="Times New Roman" w:eastAsia="方正仿宋_GBK" w:cs="Times New Roman"/>
          <w:sz w:val="32"/>
          <w:szCs w:val="20"/>
          <w:highlight w:val="none"/>
        </w:rPr>
        <w:t>份，竞得人执</w:t>
      </w:r>
      <w:r>
        <w:rPr>
          <w:rFonts w:hint="eastAsia" w:ascii="Times New Roman" w:hAnsi="Times New Roman" w:eastAsia="方正仿宋_GBK" w:cs="Times New Roman"/>
          <w:b/>
          <w:bCs/>
          <w:sz w:val="32"/>
          <w:szCs w:val="20"/>
          <w:highlight w:val="none"/>
          <w:u w:val="single"/>
        </w:rPr>
        <w:t>叁</w:t>
      </w:r>
      <w:r>
        <w:rPr>
          <w:rFonts w:ascii="Times New Roman" w:hAnsi="Times New Roman" w:eastAsia="方正仿宋_GBK" w:cs="Times New Roman"/>
          <w:sz w:val="32"/>
          <w:szCs w:val="20"/>
          <w:highlight w:val="none"/>
        </w:rPr>
        <w:t>份。</w:t>
      </w:r>
    </w:p>
    <w:p>
      <w:pPr>
        <w:widowControl/>
        <w:spacing w:line="520" w:lineRule="exact"/>
        <w:ind w:firstLine="640" w:firstLineChars="200"/>
        <w:rPr>
          <w:rFonts w:ascii="Times New Roman" w:hAnsi="Times New Roman" w:eastAsia="方正仿宋_GBK" w:cs="Times New Roman"/>
          <w:sz w:val="32"/>
          <w:szCs w:val="20"/>
          <w:highlight w:val="none"/>
        </w:rPr>
      </w:pPr>
      <w:r>
        <w:rPr>
          <w:rFonts w:ascii="Times New Roman" w:hAnsi="Times New Roman" w:eastAsia="方正仿宋_GBK" w:cs="Times New Roman"/>
          <w:sz w:val="32"/>
          <w:szCs w:val="20"/>
          <w:highlight w:val="none"/>
        </w:rPr>
        <w:t>特此确认。</w:t>
      </w:r>
    </w:p>
    <w:p>
      <w:pPr>
        <w:widowControl/>
        <w:spacing w:line="520" w:lineRule="exact"/>
        <w:rPr>
          <w:rFonts w:ascii="Times New Roman" w:hAnsi="Times New Roman" w:eastAsia="方正仿宋_GBK" w:cs="Times New Roman"/>
          <w:sz w:val="32"/>
          <w:szCs w:val="20"/>
          <w:highlight w:val="none"/>
        </w:rPr>
      </w:pPr>
      <w:r>
        <w:rPr>
          <w:rFonts w:ascii="Times New Roman" w:hAnsi="Times New Roman" w:eastAsia="方正仿宋_GBK" w:cs="Times New Roman"/>
          <w:sz w:val="32"/>
          <w:szCs w:val="20"/>
          <w:highlight w:val="none"/>
        </w:rPr>
        <w:t>拍卖人：</w:t>
      </w:r>
      <w:r>
        <w:rPr>
          <w:rFonts w:ascii="Times New Roman" w:hAnsi="Times New Roman" w:eastAsia="方正仿宋_GBK" w:cs="Times New Roman"/>
          <w:sz w:val="32"/>
          <w:szCs w:val="20"/>
          <w:highlight w:val="none"/>
          <w:u w:val="single"/>
        </w:rPr>
        <w:t>　　　　</w:t>
      </w:r>
      <w:r>
        <w:rPr>
          <w:rFonts w:ascii="Times New Roman" w:hAnsi="Times New Roman" w:eastAsia="方正仿宋_GBK" w:cs="Times New Roman"/>
          <w:sz w:val="32"/>
          <w:szCs w:val="20"/>
          <w:highlight w:val="none"/>
        </w:rPr>
        <w:t>法定</w:t>
      </w:r>
      <w:r>
        <w:rPr>
          <w:rFonts w:ascii="Times New Roman" w:hAnsi="Times New Roman" w:eastAsia="方正仿宋_GBK" w:cs="Times New Roman"/>
          <w:sz w:val="32"/>
          <w:szCs w:val="32"/>
          <w:highlight w:val="none"/>
        </w:rPr>
        <w:t>代表人（或授权委托代理人）：</w:t>
      </w:r>
      <w:r>
        <w:rPr>
          <w:rFonts w:ascii="Times New Roman" w:hAnsi="Times New Roman" w:eastAsia="方正仿宋_GBK" w:cs="Times New Roman"/>
          <w:sz w:val="32"/>
          <w:szCs w:val="32"/>
          <w:highlight w:val="none"/>
          <w:u w:val="single"/>
        </w:rPr>
        <w:t>　　　</w:t>
      </w:r>
    </w:p>
    <w:p>
      <w:pPr>
        <w:widowControl/>
        <w:spacing w:line="520" w:lineRule="exact"/>
        <w:rPr>
          <w:rFonts w:ascii="Times New Roman" w:hAnsi="Times New Roman" w:eastAsia="方正仿宋_GBK" w:cs="Times New Roman"/>
          <w:sz w:val="32"/>
          <w:szCs w:val="20"/>
          <w:highlight w:val="none"/>
        </w:rPr>
      </w:pPr>
    </w:p>
    <w:p>
      <w:pPr>
        <w:widowControl/>
        <w:spacing w:line="520" w:lineRule="exact"/>
        <w:rPr>
          <w:rFonts w:ascii="Times New Roman" w:hAnsi="Times New Roman" w:eastAsia="方正仿宋_GBK" w:cs="Times New Roman"/>
          <w:sz w:val="32"/>
          <w:szCs w:val="20"/>
          <w:highlight w:val="none"/>
        </w:rPr>
      </w:pPr>
      <w:r>
        <w:rPr>
          <w:rFonts w:ascii="Times New Roman" w:hAnsi="Times New Roman" w:eastAsia="方正仿宋_GBK" w:cs="Times New Roman"/>
          <w:sz w:val="32"/>
          <w:szCs w:val="20"/>
          <w:highlight w:val="none"/>
        </w:rPr>
        <w:t>竞得人：</w:t>
      </w:r>
      <w:r>
        <w:rPr>
          <w:rFonts w:ascii="Times New Roman" w:hAnsi="Times New Roman" w:eastAsia="方正仿宋_GBK" w:cs="Times New Roman"/>
          <w:sz w:val="32"/>
          <w:szCs w:val="20"/>
          <w:highlight w:val="none"/>
          <w:u w:val="single"/>
        </w:rPr>
        <w:t>　　　　</w:t>
      </w:r>
      <w:r>
        <w:rPr>
          <w:rFonts w:ascii="Times New Roman" w:hAnsi="Times New Roman" w:eastAsia="方正仿宋_GBK" w:cs="Times New Roman"/>
          <w:sz w:val="32"/>
          <w:szCs w:val="20"/>
          <w:highlight w:val="none"/>
        </w:rPr>
        <w:t>法定</w:t>
      </w:r>
      <w:r>
        <w:rPr>
          <w:rFonts w:ascii="Times New Roman" w:hAnsi="Times New Roman" w:eastAsia="方正仿宋_GBK" w:cs="Times New Roman"/>
          <w:sz w:val="32"/>
          <w:szCs w:val="32"/>
          <w:highlight w:val="none"/>
        </w:rPr>
        <w:t>代表人（或授权委托代理人）：</w:t>
      </w:r>
      <w:r>
        <w:rPr>
          <w:rFonts w:ascii="Times New Roman" w:hAnsi="Times New Roman" w:eastAsia="方正仿宋_GBK" w:cs="Times New Roman"/>
          <w:sz w:val="32"/>
          <w:szCs w:val="32"/>
          <w:highlight w:val="none"/>
          <w:u w:val="single"/>
        </w:rPr>
        <w:t>　　　</w:t>
      </w:r>
    </w:p>
    <w:p>
      <w:pPr>
        <w:widowControl/>
        <w:spacing w:line="520" w:lineRule="exact"/>
        <w:rPr>
          <w:rFonts w:ascii="Times New Roman" w:hAnsi="Times New Roman" w:eastAsia="方正仿宋_GBK" w:cs="Times New Roman"/>
          <w:sz w:val="32"/>
          <w:szCs w:val="20"/>
          <w:highlight w:val="none"/>
        </w:rPr>
      </w:pPr>
      <w:r>
        <w:rPr>
          <w:rFonts w:ascii="Times New Roman" w:hAnsi="Times New Roman" w:eastAsia="方正仿宋_GBK" w:cs="Times New Roman"/>
          <w:sz w:val="32"/>
          <w:szCs w:val="20"/>
          <w:highlight w:val="none"/>
        </w:rPr>
        <w:t xml:space="preserve">                                   年   月   日</w:t>
      </w:r>
      <w:r>
        <w:rPr>
          <w:rFonts w:ascii="Times New Roman" w:hAnsi="Times New Roman" w:eastAsia="方正仿宋_GBK" w:cs="Times New Roman"/>
          <w:sz w:val="32"/>
          <w:szCs w:val="20"/>
          <w:highlight w:val="none"/>
        </w:rPr>
        <w:br w:type="page"/>
      </w:r>
    </w:p>
    <w:p>
      <w:pPr>
        <w:pStyle w:val="18"/>
        <w:ind w:firstLine="332"/>
        <w:rPr>
          <w:highlight w:val="none"/>
        </w:rPr>
      </w:pPr>
      <w:r>
        <w:rPr>
          <w:rFonts w:hint="eastAsia" w:ascii="Times New Roman" w:hAnsi="Times New Roman" w:eastAsia="方正仿宋_GBK" w:cs="Times New Roman"/>
          <w:bCs/>
          <w:spacing w:val="6"/>
          <w:sz w:val="32"/>
          <w:szCs w:val="32"/>
          <w:highlight w:val="none"/>
        </w:rPr>
        <w:t xml:space="preserve">             </w:t>
      </w:r>
    </w:p>
    <w:p>
      <w:pPr>
        <w:pStyle w:val="6"/>
        <w:jc w:val="righ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mc:AlternateContent>
          <mc:Choice Requires="wps">
            <w:drawing>
              <wp:anchor distT="0" distB="0" distL="114300" distR="114300" simplePos="0" relativeHeight="251662336" behindDoc="0" locked="0" layoutInCell="1" hidden="true" allowOverlap="1">
                <wp:simplePos x="0" y="0"/>
                <wp:positionH relativeFrom="column">
                  <wp:posOffset>0</wp:posOffset>
                </wp:positionH>
                <wp:positionV relativeFrom="paragraph">
                  <wp:posOffset>0</wp:posOffset>
                </wp:positionV>
                <wp:extent cx="635000" cy="635000"/>
                <wp:effectExtent l="0" t="0" r="0" b="0"/>
                <wp:wrapNone/>
                <wp:docPr id="10" name="自选图形 46" hidden="true"/>
                <wp:cNvGraphicFramePr/>
                <a:graphic xmlns:a="http://schemas.openxmlformats.org/drawingml/2006/main">
                  <a:graphicData uri="http://schemas.microsoft.com/office/word/2010/wordprocessingShape">
                    <wps:wsp>
                      <wps:cNvSpPr/>
                      <wps:spPr>
                        <a:xfrm>
                          <a:off x="0" y="0"/>
                          <a:ext cx="635000" cy="635000"/>
                        </a:xfrm>
                        <a:custGeom>
                          <a:avLst/>
                          <a:gdLst/>
                          <a:ahLst/>
                          <a:cxnLst/>
                          <a:pathLst/>
                        </a:custGeom>
                        <a:noFill/>
                        <a:ln>
                          <a:noFill/>
                        </a:ln>
                      </wps:spPr>
                      <wps:bodyPr upright="true"/>
                    </wps:wsp>
                  </a:graphicData>
                </a:graphic>
              </wp:anchor>
            </w:drawing>
          </mc:Choice>
          <mc:Fallback>
            <w:pict>
              <v:shape id="自选图形 46" o:spid="_x0000_s1026" o:spt="100" style="position:absolute;left:0pt;margin-left:0pt;margin-top:0pt;height:50pt;width:50pt;visibility:hidden;z-index:251662336;mso-width-relative:page;mso-height-relative:page;" filled="f" stroked="f" coordsize="635000,6350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BYAAABkcnMvUEsBAhQA&#10;FAAAAAgAh07iQKY/denPAAAABQEAAA8AAAAAAAAAAQAgAAAAOAAAAGRycy9kb3ducmV2LnhtbFBL&#10;AQIUABQAAAAIAIdO4kDQ7wqhsAEAAFoDAAAOAAAAAAAAAAEAIAAAADQBAABkcnMvZTJvRG9jLnht&#10;bFBLBQYAAAAABgAGAFkBAABWBQAAAAA=&#10;">
                <v:fill on="f" focussize="0,0"/>
                <v:stroke on="f"/>
                <v:imagedata o:title=""/>
                <o:lock v:ext="edit" aspectratio="f"/>
              </v:shape>
            </w:pict>
          </mc:Fallback>
        </mc:AlternateContent>
      </w:r>
      <w:r>
        <w:rPr>
          <w:rFonts w:ascii="Times New Roman" w:hAnsi="Times New Roman" w:eastAsia="方正仿宋_GBK" w:cs="Times New Roman"/>
          <w:sz w:val="32"/>
          <w:highlight w:val="none"/>
        </w:rPr>
        <w:drawing>
          <wp:inline distT="0" distB="0" distL="114300" distR="114300">
            <wp:extent cx="1590675" cy="381000"/>
            <wp:effectExtent l="0" t="0" r="9525" b="0"/>
            <wp:docPr id="55" name="图片 10" descr="030000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10" descr="03000001"/>
                    <pic:cNvPicPr>
                      <a:picLocks noChangeAspect="true"/>
                    </pic:cNvPicPr>
                  </pic:nvPicPr>
                  <pic:blipFill>
                    <a:blip r:embed="rId21" cstate="print"/>
                    <a:stretch>
                      <a:fillRect/>
                    </a:stretch>
                  </pic:blipFill>
                  <pic:spPr>
                    <a:xfrm>
                      <a:off x="0" y="0"/>
                      <a:ext cx="1590675" cy="381000"/>
                    </a:xfrm>
                    <a:prstGeom prst="rect">
                      <a:avLst/>
                    </a:prstGeom>
                    <a:noFill/>
                    <a:ln>
                      <a:noFill/>
                    </a:ln>
                  </pic:spPr>
                </pic:pic>
              </a:graphicData>
            </a:graphic>
          </wp:inline>
        </w:drawing>
      </w:r>
    </w:p>
    <w:p>
      <w:pPr>
        <w:pStyle w:val="6"/>
        <w:wordWrap w:val="0"/>
        <w:jc w:val="righ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电子监管号：　　　　　　　　　</w:t>
      </w:r>
    </w:p>
    <w:p>
      <w:pPr>
        <w:pStyle w:val="6"/>
        <w:outlineLvl w:val="0"/>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p>
    <w:p>
      <w:pPr>
        <w:pStyle w:val="6"/>
        <w:rPr>
          <w:rStyle w:val="22"/>
          <w:rFonts w:ascii="Times New Roman" w:hAnsi="Times New Roman" w:eastAsia="方正仿宋_GBK" w:cs="Times New Roman"/>
          <w:b/>
          <w:sz w:val="32"/>
          <w:highlight w:val="none"/>
        </w:rPr>
      </w:pPr>
    </w:p>
    <w:p>
      <w:pPr>
        <w:pStyle w:val="6"/>
        <w:jc w:val="center"/>
        <w:rPr>
          <w:rFonts w:ascii="方正小标宋_GBK" w:hAnsi="Times New Roman" w:eastAsia="方正小标宋_GBK" w:cs="Times New Roman"/>
          <w:b/>
          <w:bCs/>
          <w:sz w:val="32"/>
          <w:highlight w:val="none"/>
        </w:rPr>
      </w:pPr>
      <w:r>
        <w:rPr>
          <w:rFonts w:hint="eastAsia" w:ascii="方正小标宋_GBK" w:hAnsi="Times New Roman" w:eastAsia="方正小标宋_GBK" w:cs="Times New Roman"/>
          <w:b/>
          <w:bCs/>
          <w:sz w:val="48"/>
          <w:szCs w:val="48"/>
          <w:highlight w:val="none"/>
        </w:rPr>
        <w:t>国有建设用地使用权出让合同</w:t>
      </w:r>
    </w:p>
    <w:p>
      <w:pPr>
        <w:pStyle w:val="6"/>
        <w:rPr>
          <w:rFonts w:ascii="Times New Roman" w:hAnsi="Times New Roman" w:eastAsia="方正仿宋_GBK" w:cs="Times New Roman"/>
          <w:b/>
          <w:bCs/>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ascii="Times New Roman" w:hAnsi="Times New Roman" w:eastAsia="方正仿宋_GBK" w:cs="Times New Roman"/>
          <w:sz w:val="32"/>
          <w:highlight w:val="none"/>
        </w:rPr>
      </w:pPr>
    </w:p>
    <w:p>
      <w:pPr>
        <w:pStyle w:val="6"/>
        <w:rPr>
          <w:rFonts w:hAnsi="宋体" w:cs="Times New Roman"/>
          <w:sz w:val="48"/>
          <w:szCs w:val="48"/>
          <w:highlight w:val="none"/>
        </w:rPr>
      </w:pPr>
    </w:p>
    <w:p>
      <w:pPr>
        <w:pStyle w:val="6"/>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mc:AlternateContent>
          <mc:Choice Requires="wps">
            <w:drawing>
              <wp:anchor distT="0" distB="0" distL="114300" distR="114300" simplePos="0" relativeHeight="251663360" behindDoc="1" locked="0" layoutInCell="1" allowOverlap="1">
                <wp:simplePos x="0" y="0"/>
                <wp:positionH relativeFrom="column">
                  <wp:posOffset>247650</wp:posOffset>
                </wp:positionH>
                <wp:positionV relativeFrom="paragraph">
                  <wp:posOffset>396240</wp:posOffset>
                </wp:positionV>
                <wp:extent cx="4054475" cy="792480"/>
                <wp:effectExtent l="4445" t="5080" r="17780" b="21590"/>
                <wp:wrapNone/>
                <wp:docPr id="56" name="矩形 56"/>
                <wp:cNvGraphicFramePr/>
                <a:graphic xmlns:a="http://schemas.openxmlformats.org/drawingml/2006/main">
                  <a:graphicData uri="http://schemas.microsoft.com/office/word/2010/wordprocessingShape">
                    <wps:wsp>
                      <wps:cNvSpPr/>
                      <wps:spPr>
                        <a:xfrm>
                          <a:off x="0" y="0"/>
                          <a:ext cx="3867150" cy="79248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rFonts w:hint="eastAsia" w:ascii="方正黑体_GBK" w:hAnsi="宋体" w:eastAsia="方正黑体_GBK"/>
                                <w:bCs/>
                                <w:spacing w:val="72"/>
                                <w:sz w:val="30"/>
                                <w:szCs w:val="30"/>
                                <w:highlight w:val="none"/>
                              </w:rPr>
                            </w:pPr>
                            <w:r>
                              <w:rPr>
                                <w:rFonts w:hint="eastAsia" w:ascii="方正黑体_GBK" w:hAnsi="宋体" w:eastAsia="方正黑体_GBK"/>
                                <w:bCs/>
                                <w:spacing w:val="72"/>
                                <w:sz w:val="30"/>
                                <w:szCs w:val="30"/>
                                <w:highlight w:val="none"/>
                              </w:rPr>
                              <w:t>中华人民共和国自然资源部</w:t>
                            </w:r>
                          </w:p>
                          <w:p>
                            <w:pPr>
                              <w:ind w:firstLine="444" w:firstLineChars="100"/>
                              <w:rPr>
                                <w:rFonts w:hint="eastAsia" w:ascii="方正黑体_GBK" w:hAnsi="宋体" w:eastAsia="方正黑体_GBK"/>
                                <w:bCs/>
                                <w:spacing w:val="72"/>
                                <w:sz w:val="30"/>
                                <w:szCs w:val="30"/>
                                <w:highlight w:val="none"/>
                              </w:rPr>
                            </w:pPr>
                            <w:r>
                              <w:rPr>
                                <w:rFonts w:hint="eastAsia" w:ascii="方正黑体_GBK" w:hAnsi="宋体" w:eastAsia="方正黑体_GBK"/>
                                <w:bCs/>
                                <w:spacing w:val="72"/>
                                <w:sz w:val="30"/>
                                <w:szCs w:val="30"/>
                                <w:highlight w:val="none"/>
                              </w:rPr>
                              <w:t>国家市场监督管理总局</w:t>
                            </w:r>
                          </w:p>
                        </w:txbxContent>
                      </wps:txbx>
                      <wps:bodyPr upright="true"/>
                    </wps:wsp>
                  </a:graphicData>
                </a:graphic>
              </wp:anchor>
            </w:drawing>
          </mc:Choice>
          <mc:Fallback>
            <w:pict>
              <v:rect id="_x0000_s1026" o:spid="_x0000_s1026" o:spt="1" style="position:absolute;left:0pt;margin-left:19.5pt;margin-top:31.2pt;height:62.4pt;width:319.25pt;z-index:-251653120;mso-width-relative:page;mso-height-relative:page;" fillcolor="#FFFFFF" filled="t" stroked="t" coordsize="21600,21600" o:gfxdata="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Kp+4g2AAAAAkBAAAPAAAAAAAAAAEAIAAAADgAAABkcnMv&#10;ZG93bnJldi54bWxQSwECFAAUAAAACACHTuJAWWCCD+0BAADuAwAADgAAAAAAAAABACAAAAA9AQAA&#10;ZHJzL2Uyb0RvYy54bWxQSwUGAAAAAAYABgBZAQAAnAUAAAAA&#10;">
                <v:fill on="t" focussize="0,0"/>
                <v:stroke color="#FFFFFF" joinstyle="miter"/>
                <v:imagedata o:title=""/>
                <o:lock v:ext="edit" aspectratio="f"/>
                <v:textbox>
                  <w:txbxContent>
                    <w:p>
                      <w:pPr>
                        <w:rPr>
                          <w:rFonts w:hint="eastAsia" w:ascii="方正黑体_GBK" w:hAnsi="宋体" w:eastAsia="方正黑体_GBK"/>
                          <w:bCs/>
                          <w:spacing w:val="72"/>
                          <w:sz w:val="30"/>
                          <w:szCs w:val="30"/>
                          <w:highlight w:val="none"/>
                        </w:rPr>
                      </w:pPr>
                      <w:r>
                        <w:rPr>
                          <w:rFonts w:hint="eastAsia" w:ascii="方正黑体_GBK" w:hAnsi="宋体" w:eastAsia="方正黑体_GBK"/>
                          <w:bCs/>
                          <w:spacing w:val="72"/>
                          <w:sz w:val="30"/>
                          <w:szCs w:val="30"/>
                          <w:highlight w:val="none"/>
                        </w:rPr>
                        <w:t>中华人民共和国自然资源部</w:t>
                      </w:r>
                    </w:p>
                    <w:p>
                      <w:pPr>
                        <w:ind w:firstLine="444" w:firstLineChars="100"/>
                        <w:rPr>
                          <w:rFonts w:hint="eastAsia" w:ascii="方正黑体_GBK" w:hAnsi="宋体" w:eastAsia="方正黑体_GBK"/>
                          <w:bCs/>
                          <w:spacing w:val="72"/>
                          <w:sz w:val="30"/>
                          <w:szCs w:val="30"/>
                          <w:highlight w:val="none"/>
                        </w:rPr>
                      </w:pPr>
                      <w:r>
                        <w:rPr>
                          <w:rFonts w:hint="eastAsia" w:ascii="方正黑体_GBK" w:hAnsi="宋体" w:eastAsia="方正黑体_GBK"/>
                          <w:bCs/>
                          <w:spacing w:val="72"/>
                          <w:sz w:val="30"/>
                          <w:szCs w:val="30"/>
                          <w:highlight w:val="none"/>
                        </w:rPr>
                        <w:t>国家市场监督管理总局</w:t>
                      </w:r>
                    </w:p>
                  </w:txbxContent>
                </v:textbox>
              </v:rect>
            </w:pict>
          </mc:Fallback>
        </mc:AlternateContent>
      </w:r>
    </w:p>
    <w:p>
      <w:pPr>
        <w:pStyle w:val="6"/>
        <w:spacing w:line="500" w:lineRule="exact"/>
        <w:jc w:val="lef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mc:AlternateContent>
          <mc:Choice Requires="wps">
            <w:drawing>
              <wp:anchor distT="0" distB="0" distL="114300" distR="114300" simplePos="0" relativeHeight="251664384" behindDoc="1" locked="0" layoutInCell="1" allowOverlap="1">
                <wp:simplePos x="0" y="0"/>
                <wp:positionH relativeFrom="column">
                  <wp:posOffset>4232910</wp:posOffset>
                </wp:positionH>
                <wp:positionV relativeFrom="paragraph">
                  <wp:posOffset>331470</wp:posOffset>
                </wp:positionV>
                <wp:extent cx="619125" cy="445770"/>
                <wp:effectExtent l="4445" t="4445" r="5080" b="6985"/>
                <wp:wrapNone/>
                <wp:docPr id="57" name="矩形 57"/>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rFonts w:ascii="方正黑体_GBK" w:eastAsia="方正黑体_GBK"/>
                              </w:rPr>
                            </w:pPr>
                            <w:r>
                              <w:rPr>
                                <w:rFonts w:hint="eastAsia" w:ascii="方正黑体_GBK" w:eastAsia="方正黑体_GBK"/>
                                <w:sz w:val="30"/>
                                <w:szCs w:val="30"/>
                              </w:rPr>
                              <w:t>制定</w:t>
                            </w:r>
                          </w:p>
                        </w:txbxContent>
                      </wps:txbx>
                      <wps:bodyPr upright="true"/>
                    </wps:wsp>
                  </a:graphicData>
                </a:graphic>
              </wp:anchor>
            </w:drawing>
          </mc:Choice>
          <mc:Fallback>
            <w:pict>
              <v:rect id="_x0000_s1026" o:spid="_x0000_s1026" o:spt="1" style="position:absolute;left:0pt;margin-left:333.3pt;margin-top:26.1pt;height:35.1pt;width:48.75pt;z-index:-251652096;mso-width-relative:page;mso-height-relative:page;" fillcolor="#FFFFFF" filled="t" stroked="t" coordsize="21600,21600" o:gfxdata="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DWi4F/WAAAACgEAAA8AAAAAAAAAAQAgAAAAOAAAAGRycy9kb3du&#10;cmV2LnhtbFBLAQIUABQAAAAIAIdO4kAyPONw6wEAAO0DAAAOAAAAAAAAAAEAIAAAADsBAABkcnMv&#10;ZTJvRG9jLnhtbFBLBQYAAAAABgAGAFkBAACYBQAAAAA=&#10;">
                <v:fill on="t" focussize="0,0"/>
                <v:stroke color="#FFFFFF" joinstyle="miter"/>
                <v:imagedata o:title=""/>
                <o:lock v:ext="edit" aspectratio="f"/>
                <v:textbox>
                  <w:txbxContent>
                    <w:p>
                      <w:pPr>
                        <w:rPr>
                          <w:rFonts w:ascii="方正黑体_GBK" w:eastAsia="方正黑体_GBK"/>
                        </w:rPr>
                      </w:pPr>
                      <w:r>
                        <w:rPr>
                          <w:rFonts w:hint="eastAsia" w:ascii="方正黑体_GBK" w:eastAsia="方正黑体_GBK"/>
                          <w:sz w:val="30"/>
                          <w:szCs w:val="30"/>
                        </w:rPr>
                        <w:t>制定</w:t>
                      </w:r>
                    </w:p>
                  </w:txbxContent>
                </v:textbox>
              </v:rect>
            </w:pict>
          </mc:Fallback>
        </mc:AlternateContent>
      </w:r>
      <w:r>
        <w:rPr>
          <w:rFonts w:ascii="Times New Roman" w:hAnsi="Times New Roman" w:eastAsia="方正仿宋_GBK" w:cs="Times New Roman"/>
          <w:sz w:val="32"/>
          <w:highlight w:val="none"/>
        </w:rPr>
        <w:t xml:space="preserve">         </w:t>
      </w:r>
    </w:p>
    <w:p>
      <w:pPr>
        <w:pStyle w:val="6"/>
        <w:spacing w:line="500" w:lineRule="exact"/>
        <w:jc w:val="left"/>
        <w:rPr>
          <w:rFonts w:ascii="Times New Roman" w:hAnsi="Times New Roman" w:eastAsia="方正仿宋_GBK" w:cs="Times New Roman"/>
          <w:spacing w:val="6"/>
          <w:sz w:val="32"/>
          <w:highlight w:val="none"/>
        </w:rPr>
        <w:sectPr>
          <w:pgSz w:w="11906" w:h="16838"/>
          <w:pgMar w:top="2098" w:right="1474" w:bottom="1985" w:left="1588" w:header="851" w:footer="1247" w:gutter="0"/>
          <w:cols w:space="720" w:num="1"/>
          <w:docGrid w:linePitch="312" w:charSpace="0"/>
        </w:sectPr>
      </w:pPr>
    </w:p>
    <w:p>
      <w:pPr>
        <w:pStyle w:val="6"/>
        <w:spacing w:line="590" w:lineRule="exact"/>
        <w:jc w:val="left"/>
        <w:rPr>
          <w:rFonts w:ascii="Times New Roman" w:hAnsi="Times New Roman" w:eastAsia="方正仿宋_GBK" w:cs="Times New Roman"/>
          <w:sz w:val="32"/>
          <w:highlight w:val="none"/>
          <w:u w:val="single"/>
        </w:rPr>
      </w:pPr>
      <w:r>
        <w:rPr>
          <w:rFonts w:ascii="Times New Roman" w:hAnsi="Times New Roman" w:eastAsia="方正仿宋_GBK" w:cs="Times New Roman"/>
          <w:bCs/>
          <w:spacing w:val="6"/>
          <w:sz w:val="32"/>
          <w:highlight w:val="none"/>
        </w:rPr>
        <w:t xml:space="preserve">    </w:t>
      </w:r>
      <w:r>
        <w:rPr>
          <w:rFonts w:hint="eastAsia" w:ascii="Times New Roman" w:hAnsi="Times New Roman" w:eastAsia="方正仿宋_GBK" w:cs="Times New Roman"/>
          <w:bCs/>
          <w:spacing w:val="6"/>
          <w:sz w:val="32"/>
          <w:highlight w:val="none"/>
        </w:rPr>
        <w:t xml:space="preserve">                     </w:t>
      </w:r>
      <w:r>
        <w:rPr>
          <w:rFonts w:hint="eastAsia" w:ascii="方正仿宋_GBK" w:hAnsi="方正仿宋_GBK" w:eastAsia="方正仿宋_GBK" w:cs="方正仿宋_GBK"/>
          <w:sz w:val="32"/>
          <w:highlight w:val="none"/>
        </w:rPr>
        <w:t>合同编号：</w:t>
      </w:r>
      <w:r>
        <w:rPr>
          <w:rFonts w:ascii="Times New Roman" w:hAnsi="Times New Roman" w:eastAsia="方正仿宋_GBK" w:cs="Times New Roman"/>
          <w:sz w:val="32"/>
          <w:highlight w:val="none"/>
          <w:u w:val="single"/>
        </w:rPr>
        <w:t xml:space="preserve"> </w:t>
      </w:r>
      <w:r>
        <w:rPr>
          <w:rFonts w:hint="eastAsia" w:ascii="方正仿宋_GBK" w:hAnsi="方正仿宋_GBK" w:eastAsia="方正仿宋_GBK" w:cs="方正仿宋_GBK"/>
          <w:sz w:val="32"/>
          <w:highlight w:val="none"/>
          <w:u w:val="single"/>
        </w:rPr>
        <w:t xml:space="preserve">              </w:t>
      </w:r>
    </w:p>
    <w:p>
      <w:pPr>
        <w:pStyle w:val="12"/>
        <w:spacing w:before="0" w:beforeAutospacing="0" w:after="0" w:afterAutospacing="0" w:line="590" w:lineRule="exact"/>
        <w:jc w:val="center"/>
        <w:rPr>
          <w:rFonts w:ascii="方正仿宋_GBK" w:hAnsi="方正仿宋_GBK" w:eastAsia="方正仿宋_GBK" w:cs="方正仿宋_GBK"/>
          <w:kern w:val="2"/>
          <w:sz w:val="32"/>
          <w:szCs w:val="32"/>
          <w:highlight w:val="none"/>
        </w:rPr>
      </w:pPr>
    </w:p>
    <w:p>
      <w:pPr>
        <w:pStyle w:val="12"/>
        <w:spacing w:before="0" w:beforeAutospacing="0" w:after="0" w:afterAutospacing="0" w:line="590" w:lineRule="exact"/>
        <w:jc w:val="center"/>
        <w:rPr>
          <w:rFonts w:ascii="方正小标宋_GBK" w:hAnsi="方正小标宋_GBK" w:eastAsia="方正小标宋_GBK" w:cs="方正小标宋_GBK"/>
          <w:kern w:val="2"/>
          <w:sz w:val="44"/>
          <w:szCs w:val="44"/>
          <w:highlight w:val="none"/>
        </w:rPr>
      </w:pPr>
      <w:r>
        <w:rPr>
          <w:rFonts w:hint="eastAsia" w:ascii="方正小标宋_GBK" w:hAnsi="方正小标宋_GBK" w:eastAsia="方正小标宋_GBK" w:cs="方正小标宋_GBK"/>
          <w:kern w:val="2"/>
          <w:sz w:val="44"/>
          <w:szCs w:val="44"/>
          <w:highlight w:val="none"/>
        </w:rPr>
        <w:t>国有建设用地使用权出让合同</w:t>
      </w:r>
    </w:p>
    <w:p>
      <w:pPr>
        <w:pStyle w:val="12"/>
        <w:spacing w:before="0" w:beforeAutospacing="0" w:after="0" w:afterAutospacing="0" w:line="590" w:lineRule="exact"/>
        <w:jc w:val="center"/>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本合同双方当事人：</w:t>
      </w:r>
    </w:p>
    <w:p>
      <w:pPr>
        <w:pStyle w:val="12"/>
        <w:spacing w:before="0" w:beforeAutospacing="0" w:after="0" w:afterAutospacing="0" w:line="590" w:lineRule="exact"/>
        <w:ind w:firstLine="640" w:firstLineChars="200"/>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出 让 人：</w:t>
      </w:r>
      <w:r>
        <w:rPr>
          <w:rFonts w:hint="eastAsia" w:ascii="方正仿宋_GBK" w:hAnsi="方正仿宋_GBK" w:eastAsia="方正仿宋_GBK" w:cs="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hint="eastAsia" w:ascii="方正仿宋_GBK" w:hAnsi="方正仿宋_GBK" w:eastAsia="方正仿宋_GBK" w:cs="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590" w:lineRule="exact"/>
        <w:ind w:firstLine="640" w:firstLineChars="200"/>
        <w:jc w:val="both"/>
        <w:rPr>
          <w:rFonts w:hint="eastAsia" w:ascii="Times New Roman" w:hAnsi="Times New Roman" w:eastAsia="方正仿宋_GBK" w:cs="Times New Roman"/>
          <w:kern w:val="2"/>
          <w:sz w:val="32"/>
          <w:szCs w:val="32"/>
          <w:highlight w:val="none"/>
          <w:lang w:val="en-US" w:eastAsia="zh-CN"/>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none"/>
          <w:lang w:eastAsia="zh-CN"/>
        </w:rPr>
        <w:t>。</w:t>
      </w:r>
    </w:p>
    <w:p>
      <w:pPr>
        <w:pStyle w:val="12"/>
        <w:spacing w:before="0" w:beforeAutospacing="0" w:after="0" w:afterAutospacing="0" w:line="59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受让人：</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rPr>
        <w:softHyphen/>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580" w:lineRule="exact"/>
        <w:jc w:val="center"/>
        <w:rPr>
          <w:rFonts w:ascii="方正黑体_GBK" w:hAnsi="Times New Roman" w:eastAsia="方正黑体_GBK" w:cs="Times New Roman"/>
          <w:bCs/>
          <w:kern w:val="2"/>
          <w:sz w:val="32"/>
          <w:szCs w:val="32"/>
          <w:highlight w:val="none"/>
        </w:rPr>
      </w:pPr>
      <w:r>
        <w:rPr>
          <w:rFonts w:hint="eastAsia" w:ascii="方正黑体_GBK" w:hAnsi="方正仿宋_GBK" w:eastAsia="方正黑体_GBK" w:cs="方正仿宋_GBK"/>
          <w:bCs/>
          <w:kern w:val="2"/>
          <w:sz w:val="32"/>
          <w:szCs w:val="32"/>
          <w:highlight w:val="none"/>
        </w:rPr>
        <w:t>第一章</w:t>
      </w:r>
      <w:r>
        <w:rPr>
          <w:rFonts w:hint="eastAsia" w:ascii="方正黑体_GBK" w:hAnsi="Times New Roman" w:eastAsia="方正黑体_GBK" w:cs="Times New Roman"/>
          <w:bCs/>
          <w:kern w:val="2"/>
          <w:sz w:val="32"/>
          <w:szCs w:val="32"/>
          <w:highlight w:val="none"/>
        </w:rPr>
        <w:t xml:space="preserve"> </w:t>
      </w:r>
      <w:r>
        <w:rPr>
          <w:rFonts w:hint="eastAsia" w:ascii="方正黑体_GBK" w:hAnsi="方正仿宋_GBK" w:eastAsia="方正黑体_GBK" w:cs="方正仿宋_GBK"/>
          <w:bCs/>
          <w:kern w:val="2"/>
          <w:sz w:val="32"/>
          <w:szCs w:val="32"/>
          <w:highlight w:val="none"/>
        </w:rPr>
        <w:t>总</w:t>
      </w:r>
      <w:r>
        <w:rPr>
          <w:rFonts w:hint="eastAsia" w:ascii="方正黑体_GBK" w:hAnsi="Times New Roman" w:eastAsia="方正黑体_GBK" w:cs="Times New Roman"/>
          <w:bCs/>
          <w:kern w:val="2"/>
          <w:sz w:val="32"/>
          <w:szCs w:val="32"/>
          <w:highlight w:val="none"/>
        </w:rPr>
        <w:t xml:space="preserve">   </w:t>
      </w:r>
      <w:r>
        <w:rPr>
          <w:rFonts w:hint="eastAsia" w:ascii="方正黑体_GBK" w:hAnsi="方正仿宋_GBK" w:eastAsia="方正黑体_GBK" w:cs="方正仿宋_GBK"/>
          <w:bCs/>
          <w:kern w:val="2"/>
          <w:sz w:val="32"/>
          <w:szCs w:val="32"/>
          <w:highlight w:val="none"/>
        </w:rPr>
        <w:t>则</w:t>
      </w:r>
    </w:p>
    <w:p>
      <w:pPr>
        <w:pStyle w:val="12"/>
        <w:spacing w:before="0" w:beforeAutospacing="0" w:after="0" w:afterAutospacing="0" w:line="580" w:lineRule="exact"/>
        <w:jc w:val="center"/>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autoSpaceDE w:val="0"/>
        <w:spacing w:before="0" w:beforeAutospacing="0" w:after="0" w:afterAutospacing="0" w:line="580" w:lineRule="exact"/>
        <w:ind w:firstLine="629" w:firstLineChars="196"/>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第一条</w:t>
      </w:r>
      <w:r>
        <w:rPr>
          <w:rFonts w:ascii="Times New Roman" w:hAnsi="Times New Roman" w:eastAsia="方正仿宋_GBK" w:cs="Times New Roman"/>
          <w:kern w:val="2"/>
          <w:sz w:val="32"/>
          <w:szCs w:val="32"/>
          <w:highlight w:val="none"/>
        </w:rPr>
        <w:t xml:space="preserve"> </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根据</w:t>
      </w:r>
      <w:r>
        <w:rPr>
          <w:rFonts w:ascii="Times New Roman" w:hAnsi="Times New Roman" w:eastAsia="方正仿宋_GBK" w:cs="Times New Roman"/>
          <w:sz w:val="32"/>
          <w:szCs w:val="32"/>
          <w:highlight w:val="none"/>
        </w:rPr>
        <w:t>《中华人民共和国</w:t>
      </w:r>
      <w:r>
        <w:rPr>
          <w:rFonts w:hint="eastAsia" w:ascii="Times New Roman" w:hAnsi="Times New Roman" w:eastAsia="方正仿宋_GBK" w:cs="Times New Roman"/>
          <w:sz w:val="32"/>
          <w:szCs w:val="32"/>
          <w:highlight w:val="none"/>
        </w:rPr>
        <w:t>民法典</w:t>
      </w:r>
      <w:r>
        <w:rPr>
          <w:rFonts w:ascii="Times New Roman" w:hAnsi="Times New Roman" w:eastAsia="方正仿宋_GBK" w:cs="Times New Roman"/>
          <w:sz w:val="32"/>
          <w:szCs w:val="32"/>
          <w:highlight w:val="none"/>
        </w:rPr>
        <w:t>》</w:t>
      </w:r>
      <w:r>
        <w:rPr>
          <w:rFonts w:hint="eastAsia" w:ascii="方正仿宋_GBK" w:hAnsi="方正仿宋_GBK" w:eastAsia="方正仿宋_GBK" w:cs="方正仿宋_GBK"/>
          <w:kern w:val="2"/>
          <w:sz w:val="32"/>
          <w:szCs w:val="32"/>
          <w:highlight w:val="none"/>
        </w:rPr>
        <w:t>《中华人民共和国土地管理法》《中华人民共和国城市房地产管理法》等法律、有关行政法规及土地供应政策规定，双方本着平等、自愿、有偿、诚实信用的原则，订立本合同。</w:t>
      </w:r>
    </w:p>
    <w:p>
      <w:pPr>
        <w:pStyle w:val="12"/>
        <w:autoSpaceDE w:val="0"/>
        <w:spacing w:before="0" w:beforeAutospacing="0" w:after="0" w:afterAutospacing="0" w:line="580" w:lineRule="exact"/>
        <w:ind w:firstLine="642" w:firstLineChars="200"/>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第二条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cs="Times New Roman"/>
          <w:kern w:val="2"/>
          <w:sz w:val="32"/>
          <w:szCs w:val="32"/>
          <w:highlight w:val="none"/>
        </w:rPr>
        <w:t xml:space="preserve">   </w:t>
      </w:r>
    </w:p>
    <w:p>
      <w:pPr>
        <w:pStyle w:val="12"/>
        <w:autoSpaceDE w:val="0"/>
        <w:spacing w:before="0" w:beforeAutospacing="0" w:after="0" w:afterAutospacing="0" w:line="580" w:lineRule="exact"/>
        <w:ind w:firstLine="642" w:firstLineChars="200"/>
        <w:jc w:val="both"/>
        <w:rPr>
          <w:rFonts w:ascii="方正仿宋_GBK" w:hAnsi="方正仿宋_GBK" w:eastAsia="方正仿宋_GBK" w:cs="方正仿宋_GBK"/>
          <w:kern w:val="2"/>
          <w:sz w:val="32"/>
          <w:szCs w:val="32"/>
          <w:highlight w:val="none"/>
        </w:rPr>
      </w:pPr>
      <w:r>
        <w:rPr>
          <w:rFonts w:hint="eastAsia" w:ascii="方正楷体_GBK" w:hAnsi="方正仿宋_GBK" w:eastAsia="方正楷体_GBK" w:cs="方正仿宋_GBK"/>
          <w:b/>
          <w:bCs/>
          <w:kern w:val="2"/>
          <w:sz w:val="32"/>
          <w:szCs w:val="32"/>
          <w:highlight w:val="none"/>
        </w:rPr>
        <w:t>第三条</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受让人对依法取得的国有建设用地，在出让期限内享有占有、使用、收益和依法处置的权利，有权利用该土地依法建造建筑物、构筑物及其附属设施。</w:t>
      </w:r>
    </w:p>
    <w:p>
      <w:pPr>
        <w:pStyle w:val="12"/>
        <w:spacing w:before="0" w:beforeAutospacing="0" w:after="0" w:afterAutospacing="0" w:line="580" w:lineRule="exact"/>
        <w:jc w:val="center"/>
        <w:rPr>
          <w:rFonts w:ascii="方正黑体_GBK" w:hAnsi="方正仿宋_GBK" w:eastAsia="方正黑体_GBK" w:cs="方正仿宋_GBK"/>
          <w:bCs/>
          <w:kern w:val="2"/>
          <w:sz w:val="32"/>
          <w:szCs w:val="32"/>
          <w:highlight w:val="none"/>
        </w:rPr>
      </w:pPr>
      <w:r>
        <w:rPr>
          <w:rFonts w:ascii="方正黑体_GBK" w:hAnsi="方正仿宋_GBK" w:eastAsia="方正黑体_GBK" w:cs="方正仿宋_GBK"/>
          <w:bCs/>
          <w:kern w:val="2"/>
          <w:sz w:val="32"/>
          <w:szCs w:val="32"/>
          <w:highlight w:val="none"/>
        </w:rPr>
        <w:t xml:space="preserve"> </w:t>
      </w:r>
    </w:p>
    <w:p>
      <w:pPr>
        <w:pStyle w:val="12"/>
        <w:spacing w:before="0" w:beforeAutospacing="0" w:after="0" w:afterAutospacing="0" w:line="580" w:lineRule="exact"/>
        <w:jc w:val="center"/>
        <w:rPr>
          <w:rFonts w:ascii="方正黑体_GBK" w:hAnsi="方正仿宋_GBK" w:eastAsia="方正黑体_GBK" w:cs="方正仿宋_GBK"/>
          <w:bCs/>
          <w:kern w:val="2"/>
          <w:sz w:val="32"/>
          <w:szCs w:val="32"/>
          <w:highlight w:val="none"/>
        </w:rPr>
      </w:pPr>
      <w:r>
        <w:rPr>
          <w:rFonts w:hint="eastAsia" w:ascii="方正黑体_GBK" w:hAnsi="方正仿宋_GBK" w:eastAsia="方正黑体_GBK" w:cs="方正仿宋_GBK"/>
          <w:bCs/>
          <w:kern w:val="2"/>
          <w:sz w:val="32"/>
          <w:szCs w:val="32"/>
          <w:highlight w:val="none"/>
        </w:rPr>
        <w:t>第二章</w:t>
      </w:r>
      <w:r>
        <w:rPr>
          <w:rFonts w:ascii="方正黑体_GBK" w:hAnsi="方正仿宋_GBK" w:eastAsia="方正黑体_GBK" w:cs="方正仿宋_GBK"/>
          <w:bCs/>
          <w:kern w:val="2"/>
          <w:sz w:val="32"/>
          <w:szCs w:val="32"/>
          <w:highlight w:val="none"/>
        </w:rPr>
        <w:t xml:space="preserve"> </w:t>
      </w:r>
      <w:r>
        <w:rPr>
          <w:rFonts w:hint="eastAsia" w:ascii="方正黑体_GBK" w:hAnsi="方正仿宋_GBK" w:eastAsia="方正黑体_GBK" w:cs="方正仿宋_GBK"/>
          <w:bCs/>
          <w:kern w:val="2"/>
          <w:sz w:val="32"/>
          <w:szCs w:val="32"/>
          <w:highlight w:val="none"/>
        </w:rPr>
        <w:t>出让土地的交付与出让价款的缴纳</w:t>
      </w:r>
    </w:p>
    <w:p>
      <w:pPr>
        <w:pStyle w:val="12"/>
        <w:autoSpaceDE w:val="0"/>
        <w:spacing w:before="0" w:beforeAutospacing="0" w:after="0" w:afterAutospacing="0" w:line="580" w:lineRule="exact"/>
        <w:jc w:val="center"/>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autoSpaceDE w:val="0"/>
        <w:spacing w:before="0" w:beforeAutospacing="0" w:after="0" w:afterAutospacing="0" w:line="580" w:lineRule="exact"/>
        <w:ind w:firstLine="646"/>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第四条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本合同项下出让宗地编号为</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rPr>
        <w:t>，宗地总面积大写</w:t>
      </w:r>
      <w:r>
        <w:rPr>
          <w:rFonts w:hint="eastAsia" w:ascii="方正仿宋_GBK" w:hAnsi="方正仿宋_GBK" w:eastAsia="方正仿宋_GBK" w:cs="方正仿宋_GBK"/>
          <w:b/>
          <w:bCs/>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rPr>
        <w:t>平方米（小写</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rPr>
        <w:t>平方米），其中出让宗地面积为大写</w:t>
      </w:r>
      <w:r>
        <w:rPr>
          <w:rFonts w:hint="eastAsia" w:ascii="方正仿宋_GBK" w:hAnsi="方正仿宋_GBK" w:eastAsia="方正仿宋_GBK" w:cs="方正仿宋_GBK"/>
          <w:b/>
          <w:bCs/>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rPr>
        <w:t>平方米（小写</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rPr>
        <w:t>平方米）。</w:t>
      </w:r>
    </w:p>
    <w:p>
      <w:pPr>
        <w:pStyle w:val="12"/>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本合同项下的出让宗地坐落于</w:t>
      </w:r>
      <w:r>
        <w:rPr>
          <w:rFonts w:hint="eastAsia" w:ascii="Times New Roman" w:hAnsi="Times New Roman" w:eastAsia="方正仿宋简体"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本合同项下出让宗地的平面界址为</w:t>
      </w:r>
      <w:r>
        <w:rPr>
          <w:rFonts w:ascii="Times New Roman" w:hAnsi="Times New Roman" w:eastAsia="方正仿宋_GBK" w:cs="Times New Roman"/>
          <w:kern w:val="2"/>
          <w:sz w:val="32"/>
          <w:szCs w:val="32"/>
          <w:highlight w:val="none"/>
          <w:u w:val="single"/>
        </w:rPr>
        <w:t xml:space="preserve">   /      </w:t>
      </w:r>
      <w:r>
        <w:rPr>
          <w:rFonts w:hint="eastAsia" w:ascii="方正仿宋_GBK" w:hAnsi="方正仿宋_GBK" w:eastAsia="方正仿宋_GBK" w:cs="方正仿宋_GBK"/>
          <w:kern w:val="2"/>
          <w:sz w:val="32"/>
          <w:szCs w:val="32"/>
          <w:highlight w:val="none"/>
        </w:rPr>
        <w:t>；出让宗地的平面界址图见附件</w:t>
      </w:r>
      <w:r>
        <w:rPr>
          <w:rFonts w:ascii="Times New Roman" w:hAnsi="Times New Roman" w:eastAsia="方正仿宋_GBK" w:cs="Times New Roman"/>
          <w:kern w:val="2"/>
          <w:sz w:val="32"/>
          <w:szCs w:val="32"/>
          <w:highlight w:val="none"/>
        </w:rPr>
        <w:t>1</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本合同项下出让宗地的竖向界限应结合宗地周边路网高程在审查建筑方案时合理确定。</w:t>
      </w:r>
    </w:p>
    <w:p>
      <w:pPr>
        <w:pStyle w:val="12"/>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highlight w:val="none"/>
          <w:u w:val="single"/>
        </w:rPr>
      </w:pPr>
      <w:r>
        <w:rPr>
          <w:rFonts w:hint="eastAsia" w:ascii="方正仿宋_GBK" w:hAnsi="方正仿宋_GBK" w:eastAsia="方正仿宋_GBK" w:cs="方正仿宋_GBK"/>
          <w:kern w:val="2"/>
          <w:sz w:val="32"/>
          <w:szCs w:val="32"/>
          <w:highlight w:val="none"/>
        </w:rPr>
        <w:t>出让宗地空间范围是以上述界址点所构成的垂直面和上、下界限高程平面封闭形成的空间范围。</w:t>
      </w:r>
    </w:p>
    <w:p>
      <w:pPr>
        <w:pStyle w:val="12"/>
        <w:autoSpaceDE w:val="0"/>
        <w:spacing w:before="0" w:beforeAutospacing="0" w:after="0" w:afterAutospacing="0" w:line="580" w:lineRule="exact"/>
        <w:ind w:firstLine="642" w:firstLineChars="200"/>
        <w:jc w:val="both"/>
        <w:rPr>
          <w:rFonts w:ascii="Times New Roman" w:hAnsi="Times New Roman" w:eastAsia="方正仿宋_GBK" w:cs="Times New Roman"/>
          <w:b/>
          <w:bCs/>
          <w:kern w:val="2"/>
          <w:sz w:val="32"/>
          <w:szCs w:val="32"/>
          <w:highlight w:val="none"/>
          <w:u w:val="single"/>
        </w:rPr>
      </w:pPr>
      <w:r>
        <w:rPr>
          <w:rFonts w:hint="eastAsia" w:ascii="方正楷体_GBK" w:hAnsi="方正仿宋_GBK" w:eastAsia="方正楷体_GBK" w:cs="方正仿宋_GBK"/>
          <w:b/>
          <w:bCs/>
          <w:kern w:val="2"/>
          <w:sz w:val="32"/>
          <w:szCs w:val="32"/>
          <w:highlight w:val="none"/>
        </w:rPr>
        <w:t>第五条</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本合同项下出让宗地的用途为</w:t>
      </w:r>
      <w:r>
        <w:rPr>
          <w:rFonts w:hint="eastAsia" w:ascii="方正仿宋_GBK" w:hAnsi="方正仿宋_GBK" w:eastAsia="方正仿宋_GBK" w:cs="方正仿宋_GBK"/>
          <w:b/>
          <w:bCs/>
          <w:kern w:val="2"/>
          <w:sz w:val="32"/>
          <w:szCs w:val="32"/>
          <w:highlight w:val="none"/>
          <w:u w:val="single"/>
          <w:lang w:val="en-US" w:eastAsia="zh-CN"/>
        </w:rPr>
        <w:t xml:space="preserve">           </w:t>
      </w:r>
      <w:r>
        <w:rPr>
          <w:rFonts w:hint="eastAsia" w:ascii="方正仿宋_GBK" w:hAnsi="方正仿宋_GBK" w:eastAsia="方正仿宋_GBK" w:cs="方正仿宋_GBK"/>
          <w:b/>
          <w:bCs/>
          <w:kern w:val="2"/>
          <w:sz w:val="32"/>
          <w:szCs w:val="32"/>
          <w:highlight w:val="none"/>
          <w:u w:val="single"/>
        </w:rPr>
        <w:t>。</w:t>
      </w:r>
    </w:p>
    <w:p>
      <w:pPr>
        <w:autoSpaceDE w:val="0"/>
        <w:spacing w:line="580" w:lineRule="exact"/>
        <w:ind w:firstLine="642" w:firstLineChars="200"/>
        <w:rPr>
          <w:rFonts w:ascii="Times New Roman" w:hAnsi="Times New Roman" w:eastAsia="方正仿宋_GBK" w:cs="Times New Roman"/>
          <w:sz w:val="32"/>
          <w:szCs w:val="32"/>
          <w:highlight w:val="none"/>
        </w:rPr>
      </w:pPr>
      <w:r>
        <w:rPr>
          <w:rFonts w:hint="eastAsia" w:ascii="方正楷体_GBK" w:hAnsi="方正仿宋_GBK" w:eastAsia="方正楷体_GBK" w:cs="方正仿宋_GBK"/>
          <w:b/>
          <w:bCs/>
          <w:sz w:val="32"/>
          <w:szCs w:val="32"/>
          <w:highlight w:val="none"/>
        </w:rPr>
        <w:t>第六条</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 xml:space="preserve"> </w:t>
      </w:r>
      <w:r>
        <w:rPr>
          <w:rFonts w:hint="eastAsia" w:ascii="方正仿宋简体" w:hAnsi="方正仿宋简体" w:eastAsia="方正仿宋简体" w:cs="方正仿宋简体"/>
          <w:sz w:val="32"/>
          <w:szCs w:val="32"/>
          <w:highlight w:val="none"/>
        </w:rPr>
        <w:t>受让人按本合同第十条约定时限缴清全部国有建设用地使用权出让价款（含延迟缴纳国有建设用地使用权出让价款违约金及分期付款利息）并安装完成《建设项目用地信息公示牌》后，应在</w:t>
      </w:r>
      <w:r>
        <w:rPr>
          <w:rFonts w:ascii="Times New Roman" w:hAnsi="Times New Roman" w:eastAsia="方正仿宋_GBK" w:cs="Times New Roman"/>
          <w:sz w:val="32"/>
          <w:szCs w:val="32"/>
          <w:highlight w:val="none"/>
        </w:rPr>
        <w:t>10</w:t>
      </w:r>
      <w:r>
        <w:rPr>
          <w:rFonts w:hint="eastAsia" w:ascii="方正仿宋_GBK" w:hAnsi="方正仿宋_GBK" w:eastAsia="方正仿宋_GBK" w:cs="方正仿宋_GBK"/>
          <w:sz w:val="32"/>
          <w:szCs w:val="32"/>
          <w:highlight w:val="none"/>
        </w:rPr>
        <w:t>个工作日内</w:t>
      </w:r>
      <w:r>
        <w:rPr>
          <w:rFonts w:hint="eastAsia" w:ascii="方正仿宋简体" w:hAnsi="方正仿宋简体" w:eastAsia="方正仿宋简体" w:cs="方正仿宋简体"/>
          <w:sz w:val="32"/>
          <w:szCs w:val="32"/>
          <w:highlight w:val="none"/>
        </w:rPr>
        <w:t>向出让人提出交地申请，</w:t>
      </w:r>
      <w:r>
        <w:rPr>
          <w:rFonts w:hint="eastAsia" w:ascii="方正仿宋_GBK" w:hAnsi="方正仿宋_GBK" w:eastAsia="方正仿宋_GBK" w:cs="方正仿宋_GBK"/>
          <w:sz w:val="32"/>
          <w:szCs w:val="32"/>
          <w:highlight w:val="none"/>
        </w:rPr>
        <w:t>出让人同意在</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年</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月</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日前将出让宗地交付给受让人。</w:t>
      </w:r>
    </w:p>
    <w:p>
      <w:pPr>
        <w:pStyle w:val="12"/>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出让人同意在交付土地时该宗地应达到本条第</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项规定的土地条件：</w:t>
      </w:r>
    </w:p>
    <w:p>
      <w:pPr>
        <w:pStyle w:val="12"/>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（一）场地平整达到</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周围基础设施达到</w:t>
      </w:r>
      <w:r>
        <w:rPr>
          <w:rFonts w:ascii="Times New Roman" w:hAnsi="Times New Roman" w:eastAsia="方正仿宋_GBK" w:cs="Times New Roman"/>
          <w:kern w:val="2"/>
          <w:sz w:val="32"/>
          <w:szCs w:val="32"/>
          <w:highlight w:val="none"/>
          <w:u w:val="single"/>
        </w:rPr>
        <w:t xml:space="preserve">           /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（二）现状土地条件按</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580" w:lineRule="exact"/>
        <w:ind w:firstLine="642" w:firstLineChars="200"/>
        <w:jc w:val="both"/>
        <w:rPr>
          <w:rFonts w:ascii="方正仿宋_GBK" w:hAnsi="方正仿宋_GBK" w:eastAsia="方正仿宋_GBK" w:cs="方正仿宋_GBK"/>
          <w:kern w:val="2"/>
          <w:sz w:val="32"/>
          <w:szCs w:val="32"/>
          <w:highlight w:val="none"/>
        </w:rPr>
      </w:pPr>
      <w:r>
        <w:rPr>
          <w:rFonts w:hint="eastAsia" w:ascii="方正楷体_GBK" w:hAnsi="方正仿宋_GBK" w:eastAsia="方正楷体_GBK" w:cs="方正仿宋_GBK"/>
          <w:b/>
          <w:bCs/>
          <w:kern w:val="2"/>
          <w:sz w:val="32"/>
          <w:szCs w:val="32"/>
          <w:highlight w:val="none"/>
        </w:rPr>
        <w:t>第七条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本合同项下的国有建设用地使用权出让年期为</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rPr>
        <w:t>，按本合同第六条约定的交付土地之日起算。</w:t>
      </w:r>
    </w:p>
    <w:p>
      <w:pPr>
        <w:pStyle w:val="12"/>
        <w:spacing w:before="0" w:beforeAutospacing="0" w:after="0" w:afterAutospacing="0" w:line="580" w:lineRule="exact"/>
        <w:ind w:firstLine="642" w:firstLineChars="200"/>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第八条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本合同项下宗地的地表国有建设用地使用权出让价款为人民币大写</w:t>
      </w:r>
      <w:r>
        <w:rPr>
          <w:rFonts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（小写</w:t>
      </w:r>
      <w:r>
        <w:rPr>
          <w:rFonts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元），每平方米人民币大写</w:t>
      </w:r>
      <w:r>
        <w:rPr>
          <w:rFonts w:hint="eastAsia" w:ascii="Times New Roman" w:hAnsi="Times New Roman" w:eastAsia="方正仿宋简体" w:cs="Times New Roman"/>
          <w:b/>
          <w:bCs/>
          <w:kern w:val="2"/>
          <w:sz w:val="32"/>
          <w:szCs w:val="32"/>
          <w:highlight w:val="none"/>
          <w:u w:val="single"/>
        </w:rPr>
        <w:t xml:space="preserve">         </w:t>
      </w:r>
      <w:r>
        <w:rPr>
          <w:rFonts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kern w:val="2"/>
          <w:sz w:val="32"/>
          <w:szCs w:val="32"/>
          <w:highlight w:val="none"/>
        </w:rPr>
        <w:t>元</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w:t>
      </w:r>
    </w:p>
    <w:p>
      <w:pPr>
        <w:pStyle w:val="12"/>
        <w:spacing w:before="0" w:beforeAutospacing="0" w:after="0" w:afterAutospacing="0" w:line="580" w:lineRule="exact"/>
        <w:ind w:left="210" w:leftChars="100" w:firstLine="321" w:firstLineChars="100"/>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第九条</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本合同项下宗地的定金为人民币大写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元），定金抵作首期国有建设用地使用权出让价款。</w:t>
      </w:r>
    </w:p>
    <w:p>
      <w:pPr>
        <w:pStyle w:val="12"/>
        <w:spacing w:before="0" w:beforeAutospacing="0" w:after="0" w:afterAutospacing="0" w:line="580" w:lineRule="exact"/>
        <w:ind w:firstLine="642" w:firstLineChars="200"/>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第十条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受让人同意按照本条第一款第</w:t>
      </w:r>
      <w:r>
        <w:rPr>
          <w:rFonts w:hint="eastAsia" w:ascii="Times New Roman" w:hAnsi="Times New Roman" w:eastAsia="方正仿宋简体" w:cs="Times New Roman"/>
          <w:b/>
          <w:bCs/>
          <w:kern w:val="2"/>
          <w:sz w:val="32"/>
          <w:szCs w:val="32"/>
          <w:highlight w:val="none"/>
          <w:u w:val="single"/>
        </w:rPr>
        <w:t xml:space="preserve"> （二） </w:t>
      </w:r>
      <w:r>
        <w:rPr>
          <w:rFonts w:hint="eastAsia" w:ascii="方正仿宋_GBK" w:hAnsi="方正仿宋_GBK" w:eastAsia="方正仿宋_GBK" w:cs="方正仿宋_GBK"/>
          <w:kern w:val="2"/>
          <w:sz w:val="32"/>
          <w:szCs w:val="32"/>
          <w:highlight w:val="none"/>
        </w:rPr>
        <w:t>项的规定向出让人支付地表国有建设用地使用权出让价款：</w:t>
      </w:r>
    </w:p>
    <w:p>
      <w:pPr>
        <w:pStyle w:val="12"/>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（一）本合同签订之日起</w:t>
      </w:r>
      <w:r>
        <w:rPr>
          <w:rFonts w:ascii="Times New Roman" w:hAnsi="Times New Roman" w:eastAsia="方正仿宋_GBK" w:cs="Times New Roman"/>
          <w:kern w:val="2"/>
          <w:sz w:val="32"/>
          <w:szCs w:val="32"/>
          <w:highlight w:val="none"/>
          <w:u w:val="single"/>
        </w:rPr>
        <w:t xml:space="preserve"> </w:t>
      </w:r>
      <w:r>
        <w:rPr>
          <w:rFonts w:hint="eastAsia" w:ascii="仿宋_GB2312" w:hAnsi="仿宋_GB2312" w:eastAsia="仿宋_GB2312" w:cs="仿宋_GB2312"/>
          <w:kern w:val="2"/>
          <w:sz w:val="32"/>
          <w:szCs w:val="32"/>
          <w:highlight w:val="none"/>
          <w:u w:val="single"/>
        </w:rPr>
        <w:t>/</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日内，一次性付清国有建设用地使用权出让价款；</w:t>
      </w:r>
    </w:p>
    <w:p>
      <w:pPr>
        <w:pStyle w:val="12"/>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（二）按以下时间和金额分</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二</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期向出让人支付地表国有建设用地使用权出让价款。</w:t>
      </w:r>
    </w:p>
    <w:p>
      <w:pPr>
        <w:pStyle w:val="12"/>
        <w:spacing w:before="0" w:beforeAutospacing="0" w:after="0" w:afterAutospacing="0" w:line="580" w:lineRule="exact"/>
        <w:ind w:left="319" w:leftChars="152"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第一期</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人民币大写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万元（小写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元），付款时间：</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rPr>
        <w:t>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w:t>
      </w: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580" w:lineRule="exact"/>
        <w:ind w:firstLine="640" w:firstLineChars="200"/>
        <w:jc w:val="both"/>
        <w:rPr>
          <w:rFonts w:ascii="方正仿宋_GBK" w:hAnsi="方正仿宋_GBK" w:eastAsia="方正仿宋_GBK" w:cs="方正仿宋_GBK"/>
          <w:kern w:val="2"/>
          <w:sz w:val="32"/>
          <w:szCs w:val="32"/>
          <w:highlight w:val="none"/>
        </w:rPr>
      </w:pPr>
      <w:r>
        <w:rPr>
          <w:rFonts w:hint="eastAsia" w:ascii="方正仿宋_GBK" w:hAnsi="方正仿宋_GBK" w:eastAsia="方正仿宋_GBK" w:cs="方正仿宋_GBK"/>
          <w:kern w:val="2"/>
          <w:sz w:val="32"/>
          <w:szCs w:val="32"/>
          <w:highlight w:val="none"/>
        </w:rPr>
        <w:t>第二期</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人民币大写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万元（小写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元），付款时间：</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rPr>
        <w:t>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w:t>
      </w:r>
    </w:p>
    <w:p>
      <w:pPr>
        <w:pStyle w:val="12"/>
        <w:spacing w:before="0" w:beforeAutospacing="0" w:after="0" w:afterAutospacing="0" w:line="580" w:lineRule="exact"/>
        <w:ind w:firstLine="640" w:firstLineChars="200"/>
        <w:jc w:val="both"/>
        <w:rPr>
          <w:rFonts w:ascii="方正仿宋_GBK" w:hAnsi="方正仿宋_GBK" w:eastAsia="方正仿宋_GBK" w:cs="方正仿宋_GBK"/>
          <w:kern w:val="2"/>
          <w:sz w:val="32"/>
          <w:szCs w:val="32"/>
          <w:highlight w:val="none"/>
        </w:rPr>
      </w:pPr>
      <w:r>
        <w:rPr>
          <w:rFonts w:hint="eastAsia" w:ascii="方正仿宋_GBK" w:hAnsi="方正仿宋_GBK" w:eastAsia="方正仿宋_GBK" w:cs="方正仿宋_GBK"/>
          <w:kern w:val="2"/>
          <w:sz w:val="32"/>
          <w:szCs w:val="32"/>
          <w:highlight w:val="none"/>
        </w:rPr>
        <w:t>分期支付国有建设用地使用权出让价款的，受让人在支付第二期及以后各期国有建设用地使用权出让价款时，</w:t>
      </w:r>
      <w:r>
        <w:rPr>
          <w:rFonts w:ascii="Times New Roman" w:hAnsi="Times New Roman" w:eastAsia="方正仿宋_GBK" w:cs="Times New Roman"/>
          <w:sz w:val="32"/>
          <w:highlight w:val="none"/>
        </w:rPr>
        <w:t>同意按照</w:t>
      </w:r>
      <w:r>
        <w:rPr>
          <w:rFonts w:hint="eastAsia" w:ascii="Times New Roman" w:hAnsi="Times New Roman" w:eastAsia="方正仿宋_GBK" w:cs="Times New Roman"/>
          <w:sz w:val="32"/>
          <w:highlight w:val="none"/>
        </w:rPr>
        <w:t>约定的第一期付款期限次日全国银行间同业拆借中心公布的贷款市场报价利率（LPR）一年期利率，向出让人支付利息</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580" w:lineRule="exact"/>
        <w:ind w:firstLine="642" w:firstLineChars="200"/>
        <w:jc w:val="both"/>
        <w:rPr>
          <w:rFonts w:ascii="方正仿宋_GBK" w:hAnsi="方正仿宋_GBK" w:eastAsia="方正仿宋_GBK" w:cs="方正仿宋_GBK"/>
          <w:kern w:val="2"/>
          <w:sz w:val="32"/>
          <w:szCs w:val="32"/>
          <w:highlight w:val="none"/>
        </w:rPr>
      </w:pPr>
      <w:r>
        <w:rPr>
          <w:rFonts w:hint="eastAsia" w:ascii="方正楷体_GBK" w:hAnsi="方正仿宋_GBK" w:eastAsia="方正楷体_GBK" w:cs="方正仿宋_GBK"/>
          <w:b/>
          <w:bCs/>
          <w:kern w:val="2"/>
          <w:sz w:val="32"/>
          <w:szCs w:val="32"/>
          <w:highlight w:val="none"/>
        </w:rPr>
        <w:t>第十一条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pStyle w:val="6"/>
        <w:spacing w:line="600" w:lineRule="exact"/>
        <w:ind w:firstLine="640" w:firstLineChars="200"/>
        <w:rPr>
          <w:rFonts w:ascii="方正仿宋_GBK" w:hAnsi="方正仿宋_GBK" w:eastAsia="方正仿宋_GBK" w:cs="方正仿宋_GBK"/>
          <w:sz w:val="32"/>
          <w:highlight w:val="none"/>
        </w:rPr>
      </w:pPr>
      <w:r>
        <w:rPr>
          <w:rFonts w:hint="eastAsia" w:ascii="方正仿宋_GBK" w:hAnsi="方正仿宋_GBK" w:eastAsia="方正仿宋_GBK" w:cs="方正仿宋_GBK"/>
          <w:sz w:val="32"/>
          <w:highlight w:val="none"/>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12"/>
        <w:spacing w:before="0" w:beforeAutospacing="0" w:after="0" w:afterAutospacing="0" w:line="580" w:lineRule="exact"/>
        <w:ind w:firstLine="640" w:firstLineChars="200"/>
        <w:jc w:val="both"/>
        <w:rPr>
          <w:rFonts w:ascii="Times New Roman" w:hAnsi="Times New Roman" w:eastAsia="方正仿宋_GBK" w:cs="Times New Roman"/>
          <w:sz w:val="32"/>
          <w:szCs w:val="32"/>
          <w:highlight w:val="none"/>
        </w:rPr>
      </w:pPr>
    </w:p>
    <w:p>
      <w:pPr>
        <w:pStyle w:val="12"/>
        <w:spacing w:before="0" w:beforeAutospacing="0" w:after="0" w:afterAutospacing="0" w:line="580" w:lineRule="exact"/>
        <w:jc w:val="center"/>
        <w:rPr>
          <w:rFonts w:ascii="方正黑体_GBK" w:hAnsi="方正仿宋_GBK" w:eastAsia="方正黑体_GBK" w:cs="方正仿宋_GBK"/>
          <w:bCs/>
          <w:kern w:val="2"/>
          <w:sz w:val="32"/>
          <w:szCs w:val="32"/>
          <w:highlight w:val="none"/>
        </w:rPr>
      </w:pPr>
      <w:r>
        <w:rPr>
          <w:rFonts w:hint="eastAsia" w:ascii="方正黑体_GBK" w:hAnsi="方正仿宋_GBK" w:eastAsia="方正黑体_GBK" w:cs="方正仿宋_GBK"/>
          <w:bCs/>
          <w:kern w:val="2"/>
          <w:sz w:val="32"/>
          <w:szCs w:val="32"/>
          <w:highlight w:val="none"/>
        </w:rPr>
        <w:t>第三章</w:t>
      </w:r>
      <w:r>
        <w:rPr>
          <w:rFonts w:ascii="方正黑体_GBK" w:hAnsi="方正仿宋_GBK" w:eastAsia="方正黑体_GBK" w:cs="方正仿宋_GBK"/>
          <w:bCs/>
          <w:kern w:val="2"/>
          <w:sz w:val="32"/>
          <w:szCs w:val="32"/>
          <w:highlight w:val="none"/>
        </w:rPr>
        <w:t xml:space="preserve">  </w:t>
      </w:r>
      <w:r>
        <w:rPr>
          <w:rFonts w:hint="eastAsia" w:ascii="方正黑体_GBK" w:hAnsi="方正仿宋_GBK" w:eastAsia="方正黑体_GBK" w:cs="方正仿宋_GBK"/>
          <w:bCs/>
          <w:kern w:val="2"/>
          <w:sz w:val="32"/>
          <w:szCs w:val="32"/>
          <w:highlight w:val="none"/>
        </w:rPr>
        <w:t>土地开发建设与利用</w:t>
      </w:r>
    </w:p>
    <w:p>
      <w:pPr>
        <w:pStyle w:val="12"/>
        <w:spacing w:before="0" w:beforeAutospacing="0" w:after="0" w:afterAutospacing="0" w:line="580" w:lineRule="exact"/>
        <w:jc w:val="center"/>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580" w:lineRule="exact"/>
        <w:ind w:firstLine="642" w:firstLineChars="200"/>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第十二条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受让人在本合同项下宗地范围内新建建筑物、构筑物及其附属设施的，应符合市（县）政府规划管理部门确定的出让宗地规划条件（见附件</w:t>
      </w:r>
      <w:r>
        <w:rPr>
          <w:rFonts w:ascii="Times New Roman" w:hAnsi="Times New Roman" w:eastAsia="方正仿宋_GBK" w:cs="Times New Roman"/>
          <w:kern w:val="2"/>
          <w:sz w:val="32"/>
          <w:szCs w:val="32"/>
          <w:highlight w:val="none"/>
        </w:rPr>
        <w:t>3</w:t>
      </w:r>
      <w:r>
        <w:rPr>
          <w:rFonts w:hint="eastAsia" w:ascii="方正仿宋_GBK" w:hAnsi="方正仿宋_GBK" w:eastAsia="方正仿宋_GBK" w:cs="方正仿宋_GBK"/>
          <w:kern w:val="2"/>
          <w:sz w:val="32"/>
          <w:szCs w:val="32"/>
          <w:highlight w:val="none"/>
        </w:rPr>
        <w:t>）。其中：</w:t>
      </w:r>
    </w:p>
    <w:p>
      <w:pPr>
        <w:pStyle w:val="12"/>
        <w:autoSpaceDE w:val="0"/>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主体建筑物性质</w:t>
      </w:r>
      <w:r>
        <w:rPr>
          <w:rFonts w:hint="eastAsia" w:ascii="方正仿宋_GBK" w:hAnsi="方正仿宋_GBK" w:eastAsia="方正仿宋_GBK" w:cs="方正仿宋_GBK"/>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附属建筑物性质</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建筑总面积：</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平方米（计入容积率面积）；</w:t>
      </w:r>
    </w:p>
    <w:p>
      <w:pPr>
        <w:pStyle w:val="12"/>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建筑容积率：</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autoSpaceDE w:val="0"/>
        <w:spacing w:line="580" w:lineRule="exact"/>
        <w:ind w:firstLine="640" w:firstLineChars="200"/>
        <w:rPr>
          <w:rFonts w:ascii="Times New Roman" w:hAnsi="Times New Roman" w:eastAsia="方正仿宋_GBK" w:cs="Times New Roman"/>
          <w:sz w:val="32"/>
          <w:szCs w:val="32"/>
          <w:highlight w:val="none"/>
          <w:u w:val="single" w:color="000000"/>
        </w:rPr>
      </w:pPr>
      <w:r>
        <w:rPr>
          <w:rFonts w:hint="eastAsia" w:ascii="方正仿宋_GBK" w:hAnsi="方正仿宋_GBK" w:eastAsia="方正仿宋_GBK" w:cs="方正仿宋_GBK"/>
          <w:sz w:val="32"/>
          <w:szCs w:val="32"/>
          <w:highlight w:val="none"/>
        </w:rPr>
        <w:t>土地用途：</w:t>
      </w:r>
      <w:r>
        <w:rPr>
          <w:rFonts w:hint="eastAsia" w:ascii="方正仿宋_GBK" w:hAnsi="方正仿宋_GBK" w:eastAsia="方正仿宋_GBK" w:cs="方正仿宋_GBK"/>
          <w:sz w:val="32"/>
          <w:szCs w:val="32"/>
          <w:highlight w:val="none"/>
          <w:u w:val="single"/>
        </w:rPr>
        <w:t xml:space="preserve">                                   </w:t>
      </w:r>
      <w:r>
        <w:rPr>
          <w:rFonts w:hint="eastAsia" w:ascii="方正仿宋_GBK" w:hAnsi="方正仿宋_GBK" w:eastAsia="方正仿宋_GBK" w:cs="方正仿宋_GBK"/>
          <w:sz w:val="32"/>
          <w:szCs w:val="32"/>
          <w:highlight w:val="none"/>
        </w:rPr>
        <w:t>；</w:t>
      </w:r>
    </w:p>
    <w:p>
      <w:pPr>
        <w:pStyle w:val="12"/>
        <w:autoSpaceDE w:val="0"/>
        <w:spacing w:before="0" w:beforeAutospacing="0" w:after="0" w:afterAutospacing="0" w:line="580" w:lineRule="exact"/>
        <w:ind w:firstLine="645"/>
        <w:jc w:val="both"/>
        <w:rPr>
          <w:rFonts w:ascii="方正仿宋_GBK" w:hAnsi="方正仿宋_GBK" w:eastAsia="方正仿宋_GBK" w:cs="方正仿宋_GBK"/>
          <w:kern w:val="2"/>
          <w:sz w:val="32"/>
          <w:szCs w:val="32"/>
          <w:highlight w:val="none"/>
        </w:rPr>
      </w:pPr>
      <w:r>
        <w:rPr>
          <w:rFonts w:hint="eastAsia" w:ascii="Times New Roman" w:hAnsi="Times New Roman" w:eastAsia="方正仿宋_GBK" w:cs="Times New Roman"/>
          <w:sz w:val="32"/>
          <w:szCs w:val="32"/>
          <w:highlight w:val="none"/>
        </w:rPr>
        <w:t>商业</w:t>
      </w:r>
      <w:r>
        <w:rPr>
          <w:rFonts w:ascii="Times New Roman" w:hAnsi="Times New Roman" w:eastAsia="方正仿宋_GBK"/>
          <w:sz w:val="32"/>
          <w:szCs w:val="32"/>
          <w:highlight w:val="none"/>
        </w:rPr>
        <w:t>建筑比例：</w:t>
      </w:r>
      <w:r>
        <w:rPr>
          <w:rFonts w:hint="eastAsia" w:ascii="Times New Roman" w:hAnsi="Times New Roman" w:eastAsia="方正仿宋_GBK" w:cs="Times New Roman"/>
          <w:highlight w:val="none"/>
          <w:u w:val="single"/>
        </w:rPr>
        <w:t xml:space="preserve">                                          </w:t>
      </w:r>
      <w:r>
        <w:rPr>
          <w:rFonts w:hint="eastAsia" w:ascii="Times New Roman" w:hAnsi="Times New Roman" w:eastAsia="方正仿宋_GBK" w:cs="Times New Roman"/>
          <w:b/>
          <w:bCs/>
          <w:highlight w:val="none"/>
        </w:rPr>
        <w:t>；</w:t>
      </w:r>
    </w:p>
    <w:p>
      <w:pPr>
        <w:pStyle w:val="12"/>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建筑密度：</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绿地率：</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580" w:lineRule="exact"/>
        <w:ind w:firstLine="645"/>
        <w:jc w:val="both"/>
        <w:rPr>
          <w:rFonts w:ascii="方正仿宋_GBK" w:hAnsi="方正仿宋_GBK" w:eastAsia="方正仿宋_GBK" w:cs="方正仿宋_GBK"/>
          <w:kern w:val="2"/>
          <w:sz w:val="32"/>
          <w:szCs w:val="32"/>
          <w:highlight w:val="none"/>
        </w:rPr>
      </w:pPr>
      <w:r>
        <w:rPr>
          <w:rFonts w:hint="eastAsia" w:ascii="方正仿宋_GBK" w:hAnsi="方正仿宋_GBK" w:eastAsia="方正仿宋_GBK" w:cs="方正仿宋_GBK"/>
          <w:kern w:val="2"/>
          <w:sz w:val="32"/>
          <w:szCs w:val="32"/>
          <w:highlight w:val="none"/>
        </w:rPr>
        <w:t>建筑限高：</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580" w:lineRule="exact"/>
        <w:ind w:firstLine="645"/>
        <w:jc w:val="both"/>
        <w:rPr>
          <w:rFonts w:ascii="方正仿宋_GBK" w:hAnsi="方正仿宋_GBK" w:eastAsia="方正仿宋_GBK" w:cs="方正仿宋_GBK"/>
          <w:kern w:val="2"/>
          <w:sz w:val="32"/>
          <w:szCs w:val="32"/>
          <w:highlight w:val="none"/>
        </w:rPr>
      </w:pPr>
      <w:r>
        <w:rPr>
          <w:rFonts w:hint="eastAsia" w:ascii="方正仿宋_GBK" w:hAnsi="方正仿宋_GBK" w:eastAsia="方正仿宋_GBK" w:cs="方正仿宋_GBK"/>
          <w:kern w:val="2"/>
          <w:sz w:val="32"/>
          <w:szCs w:val="32"/>
          <w:highlight w:val="none"/>
        </w:rPr>
        <w:t>其他土地利用要求按</w:t>
      </w:r>
      <w:r>
        <w:rPr>
          <w:rFonts w:hint="eastAsia" w:ascii="方正仿宋_GBK" w:hAnsi="方正仿宋_GBK" w:eastAsia="方正仿宋_GBK" w:cs="方正仿宋_GBK"/>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580" w:lineRule="exact"/>
        <w:ind w:firstLine="645"/>
        <w:jc w:val="both"/>
        <w:rPr>
          <w:rFonts w:ascii="方正仿宋_GBK" w:hAnsi="方正仿宋_GBK" w:eastAsia="方正仿宋_GBK" w:cs="方正仿宋_GBK"/>
          <w:kern w:val="2"/>
          <w:sz w:val="32"/>
          <w:szCs w:val="32"/>
          <w:highlight w:val="none"/>
        </w:rPr>
      </w:pPr>
      <w:r>
        <w:rPr>
          <w:rFonts w:hint="eastAsia" w:ascii="方正楷体_GBK" w:hAnsi="方正仿宋_GBK" w:eastAsia="方正楷体_GBK" w:cs="方正仿宋_GBK"/>
          <w:b/>
          <w:bCs/>
          <w:kern w:val="2"/>
          <w:sz w:val="32"/>
          <w:szCs w:val="32"/>
          <w:highlight w:val="none"/>
        </w:rPr>
        <w:t>第十三条</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受让人同意在本合同项下宗地范围内同步修建下列工程配套项目，并在建成后无偿移交给政府：</w:t>
      </w:r>
      <w:r>
        <w:rPr>
          <w:rFonts w:hint="eastAsia" w:ascii="方正仿宋_GBK" w:hAnsi="方正仿宋_GBK" w:eastAsia="方正仿宋_GBK" w:cs="方正仿宋_GBK"/>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u w:val="single"/>
        </w:rPr>
      </w:pPr>
      <w:r>
        <w:rPr>
          <w:rFonts w:hint="eastAsia" w:ascii="方正楷体_GBK" w:hAnsi="方正仿宋_GBK" w:eastAsia="方正楷体_GBK" w:cs="方正仿宋_GBK"/>
          <w:b/>
          <w:bCs/>
          <w:kern w:val="2"/>
          <w:sz w:val="32"/>
          <w:szCs w:val="32"/>
          <w:highlight w:val="none"/>
        </w:rPr>
        <w:t>第十四条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受让人同意本合同项下宗地建设项目在</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hint="eastAsia" w:ascii="Times New Roman" w:hAnsi="Times New Roman" w:eastAsia="方正仿宋_GBK" w:cs="Times New Roman"/>
          <w:b/>
          <w:bCs/>
          <w:kern w:val="2"/>
          <w:sz w:val="32"/>
          <w:szCs w:val="32"/>
          <w:highlight w:val="none"/>
          <w:u w:val="single"/>
        </w:rPr>
        <w:t xml:space="preserve"> </w:t>
      </w:r>
    </w:p>
    <w:p>
      <w:pPr>
        <w:pStyle w:val="12"/>
        <w:spacing w:before="0" w:beforeAutospacing="0" w:after="0" w:afterAutospacing="0" w:line="580" w:lineRule="exact"/>
        <w:jc w:val="both"/>
        <w:rPr>
          <w:rFonts w:ascii="Times New Roman" w:hAnsi="Times New Roman" w:eastAsia="方正仿宋_GBK" w:cs="Times New Roman"/>
          <w:kern w:val="2"/>
          <w:sz w:val="32"/>
          <w:szCs w:val="32"/>
          <w:highlight w:val="none"/>
          <w:u w:val="single"/>
        </w:rPr>
      </w:pPr>
      <w:r>
        <w:rPr>
          <w:rFonts w:hint="eastAsia" w:ascii="方正仿宋_GBK" w:hAnsi="方正仿宋_GBK" w:eastAsia="方正仿宋_GBK" w:cs="方正仿宋_GBK"/>
          <w:kern w:val="2"/>
          <w:sz w:val="32"/>
          <w:szCs w:val="32"/>
          <w:highlight w:val="none"/>
        </w:rPr>
        <w:t>年</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日之前开工，在</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rPr>
        <w:t>年</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日之前竣工。</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受让人不能按期开工，应提前</w:t>
      </w:r>
      <w:r>
        <w:rPr>
          <w:rFonts w:ascii="Times New Roman" w:hAnsi="Times New Roman" w:eastAsia="方正仿宋_GBK" w:cs="Times New Roman"/>
          <w:kern w:val="2"/>
          <w:sz w:val="32"/>
          <w:szCs w:val="32"/>
          <w:highlight w:val="none"/>
        </w:rPr>
        <w:t>30</w:t>
      </w:r>
      <w:r>
        <w:rPr>
          <w:rFonts w:hint="eastAsia" w:ascii="方正仿宋_GBK" w:hAnsi="方正仿宋_GBK" w:eastAsia="方正仿宋_GBK" w:cs="方正仿宋_GBK"/>
          <w:kern w:val="2"/>
          <w:sz w:val="32"/>
          <w:szCs w:val="32"/>
          <w:highlight w:val="none"/>
        </w:rPr>
        <w:t>日向出让人提出延建申请，经出让人同意延建的，其项目竣工时间相应顺延。</w:t>
      </w:r>
    </w:p>
    <w:p>
      <w:pPr>
        <w:pStyle w:val="12"/>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楷体_GBK" w:hAnsi="方正仿宋_GBK" w:eastAsia="方正楷体_GBK" w:cs="方正仿宋_GBK"/>
          <w:b/>
          <w:bCs/>
          <w:kern w:val="2"/>
          <w:sz w:val="32"/>
          <w:szCs w:val="32"/>
          <w:highlight w:val="none"/>
        </w:rPr>
        <w:t>第十五条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受让人在本合同项下宗地内进行建设时，有关用水、用气、污水及其他设施与宗地外主管线、用电变电站接口和引入工程，应按有关规定办理。</w:t>
      </w:r>
    </w:p>
    <w:p>
      <w:pPr>
        <w:pStyle w:val="12"/>
        <w:spacing w:before="0" w:beforeAutospacing="0" w:after="0" w:afterAutospacing="0" w:line="580" w:lineRule="exact"/>
        <w:jc w:val="both"/>
        <w:rPr>
          <w:rFonts w:ascii="Times New Roman" w:hAnsi="Times New Roman" w:eastAsia="方正仿宋_GBK" w:cs="Times New Roman"/>
          <w:b/>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受让人同意政府为公用事业需要而敷设的各种管道与管线进出、通过、穿越受让宗地，但由此影响受让宗地使用功能的，政府或公用事业营建主体应当给予合理补偿。</w:t>
      </w:r>
    </w:p>
    <w:p>
      <w:pPr>
        <w:pStyle w:val="12"/>
        <w:spacing w:before="0" w:beforeAutospacing="0" w:after="0" w:afterAutospacing="0" w:line="580" w:lineRule="exact"/>
        <w:ind w:firstLine="642" w:firstLineChars="200"/>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第十六条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受让人应当按照本合同约定的土地用途、容积率利用土地，不得擅自改变。在出让期限内，需要改变本合同约定的土地用途的，双方同意按照本条第</w:t>
      </w:r>
      <w:r>
        <w:rPr>
          <w:rFonts w:hint="eastAsia" w:ascii="方正楷体_GBK" w:hAnsi="方正楷体_GBK" w:eastAsia="方正楷体_GBK" w:cs="方正楷体_GBK"/>
          <w:b/>
          <w:bCs/>
          <w:kern w:val="2"/>
          <w:sz w:val="32"/>
          <w:szCs w:val="32"/>
          <w:highlight w:val="none"/>
          <w:u w:val="single"/>
        </w:rPr>
        <w:t xml:space="preserve"> （二） </w:t>
      </w:r>
      <w:r>
        <w:rPr>
          <w:rFonts w:hint="eastAsia" w:ascii="方正仿宋_GBK" w:hAnsi="方正仿宋_GBK" w:eastAsia="方正仿宋_GBK" w:cs="方正仿宋_GBK"/>
          <w:kern w:val="2"/>
          <w:sz w:val="32"/>
          <w:szCs w:val="32"/>
          <w:highlight w:val="none"/>
        </w:rPr>
        <w:t>项规定办理：</w:t>
      </w:r>
    </w:p>
    <w:p>
      <w:pPr>
        <w:pStyle w:val="12"/>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（一）由出让人有偿收回建设用地使用权；</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第十七条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第十八条</w:t>
      </w:r>
      <w:r>
        <w:rPr>
          <w:rFonts w:hint="eastAsia" w:ascii="方正仿宋_GBK" w:hAnsi="方正仿宋_GBK" w:eastAsia="方正仿宋_GBK" w:cs="方正仿宋_GBK"/>
          <w:kern w:val="2"/>
          <w:sz w:val="32"/>
          <w:szCs w:val="32"/>
          <w:highlight w:val="none"/>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p>
    <w:p>
      <w:pPr>
        <w:pStyle w:val="12"/>
        <w:spacing w:before="0" w:beforeAutospacing="0" w:after="0" w:afterAutospacing="0" w:line="580" w:lineRule="exact"/>
        <w:jc w:val="center"/>
        <w:rPr>
          <w:rFonts w:ascii="方正黑体_GBK" w:hAnsi="方正仿宋_GBK" w:eastAsia="方正黑体_GBK" w:cs="方正仿宋_GBK"/>
          <w:bCs/>
          <w:kern w:val="2"/>
          <w:sz w:val="32"/>
          <w:szCs w:val="32"/>
          <w:highlight w:val="none"/>
        </w:rPr>
      </w:pPr>
      <w:r>
        <w:rPr>
          <w:rFonts w:hint="eastAsia" w:ascii="方正黑体_GBK" w:hAnsi="方正仿宋_GBK" w:eastAsia="方正黑体_GBK" w:cs="方正仿宋_GBK"/>
          <w:bCs/>
          <w:kern w:val="2"/>
          <w:sz w:val="32"/>
          <w:szCs w:val="32"/>
          <w:highlight w:val="none"/>
        </w:rPr>
        <w:t>第四章</w:t>
      </w:r>
      <w:r>
        <w:rPr>
          <w:rFonts w:ascii="方正黑体_GBK" w:hAnsi="方正仿宋_GBK" w:eastAsia="方正黑体_GBK" w:cs="方正仿宋_GBK"/>
          <w:bCs/>
          <w:kern w:val="2"/>
          <w:sz w:val="32"/>
          <w:szCs w:val="32"/>
          <w:highlight w:val="none"/>
        </w:rPr>
        <w:t xml:space="preserve">  </w:t>
      </w:r>
      <w:r>
        <w:rPr>
          <w:rFonts w:hint="eastAsia" w:ascii="方正黑体_GBK" w:hAnsi="方正仿宋_GBK" w:eastAsia="方正黑体_GBK" w:cs="方正仿宋_GBK"/>
          <w:bCs/>
          <w:kern w:val="2"/>
          <w:sz w:val="32"/>
          <w:szCs w:val="32"/>
          <w:highlight w:val="none"/>
        </w:rPr>
        <w:t>国有建设用地使用权转让、出租、抵押</w:t>
      </w:r>
    </w:p>
    <w:p>
      <w:pPr>
        <w:pStyle w:val="12"/>
        <w:spacing w:before="0" w:beforeAutospacing="0" w:after="0" w:afterAutospacing="0" w:line="580" w:lineRule="exact"/>
        <w:jc w:val="center"/>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autoSpaceDE w:val="0"/>
        <w:spacing w:before="0" w:beforeAutospacing="0" w:after="0" w:afterAutospacing="0" w:line="580" w:lineRule="exact"/>
        <w:ind w:firstLine="642" w:firstLineChars="200"/>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第十九条</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按照本合同约定支付全部国有建设用地使用权出让价款，领取不动产权证书后，有权将本合同项下的全部或部分国有建设用地使用权转让、出租、抵押。首次转让的，应当按照本合同约定进行投资开发，完成开发投资总额的百分之二十五以上。</w:t>
      </w:r>
    </w:p>
    <w:p>
      <w:pPr>
        <w:pStyle w:val="12"/>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楷体_GBK" w:hAnsi="方正仿宋_GBK" w:eastAsia="方正楷体_GBK" w:cs="方正仿宋_GBK"/>
          <w:b/>
          <w:bCs/>
          <w:kern w:val="2"/>
          <w:sz w:val="32"/>
          <w:szCs w:val="32"/>
          <w:highlight w:val="none"/>
        </w:rPr>
        <w:t>第二十条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国有建设用地使用权的转让、出租及抵押合同，不得违背国家法律、法规规定和本合同约定。</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第二十一条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国有建设用地使用权全部或部分转让后，本合同和土地登记文件中载明的权利、义务随之转移，国有建设用地使用权的使用年限为本合同约定的使用年限减去已经使用年限后的剩余年限。</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本合同项下的全部或部分国有建设用地使用权出租后，本合同和土地登记文件中载明的权利、义务仍由受让人承担。</w:t>
      </w:r>
    </w:p>
    <w:p>
      <w:pPr>
        <w:widowControl/>
        <w:spacing w:line="580" w:lineRule="exact"/>
        <w:ind w:firstLine="642" w:firstLineChars="200"/>
        <w:outlineLvl w:val="0"/>
        <w:rPr>
          <w:rFonts w:ascii="Times New Roman" w:hAnsi="Times New Roman" w:eastAsia="方正仿宋_GBK" w:cs="Times New Roman"/>
          <w:sz w:val="32"/>
          <w:szCs w:val="32"/>
          <w:highlight w:val="none"/>
        </w:rPr>
      </w:pPr>
      <w:r>
        <w:rPr>
          <w:rFonts w:hint="eastAsia" w:ascii="方正楷体_GBK" w:hAnsi="方正仿宋_GBK" w:eastAsia="方正楷体_GBK" w:cs="方正仿宋_GBK"/>
          <w:b/>
          <w:bCs/>
          <w:sz w:val="32"/>
          <w:szCs w:val="32"/>
          <w:highlight w:val="none"/>
        </w:rPr>
        <w:t>第二十二条</w:t>
      </w:r>
      <w:r>
        <w:rPr>
          <w:rFonts w:ascii="Times New Roman" w:hAnsi="Times New Roman" w:eastAsia="方正仿宋_GBK" w:cs="Times New Roman"/>
          <w:b/>
          <w:bCs/>
          <w:sz w:val="32"/>
          <w:szCs w:val="32"/>
          <w:highlight w:val="none"/>
        </w:rPr>
        <w:t xml:space="preserve">  </w:t>
      </w:r>
      <w:r>
        <w:rPr>
          <w:rFonts w:hint="eastAsia" w:ascii="方正仿宋_GBK" w:hAnsi="方正仿宋_GBK" w:eastAsia="方正仿宋_GBK" w:cs="方正仿宋_GBK"/>
          <w:sz w:val="32"/>
          <w:szCs w:val="32"/>
          <w:highlight w:val="none"/>
        </w:rPr>
        <w:t>国有建设用地使用权转让、抵押的，转让、抵押双方应持本合同和相应的转让、抵押合同及不动产权证书，到自然资源管理部门申请办理土地变更登记。</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580" w:lineRule="exact"/>
        <w:jc w:val="center"/>
        <w:rPr>
          <w:rFonts w:ascii="Times New Roman" w:hAnsi="Times New Roman" w:eastAsia="方正仿宋_GBK" w:cs="Times New Roman"/>
          <w:kern w:val="2"/>
          <w:sz w:val="32"/>
          <w:szCs w:val="32"/>
          <w:highlight w:val="none"/>
        </w:rPr>
      </w:pPr>
      <w:r>
        <w:rPr>
          <w:rFonts w:hint="eastAsia" w:ascii="方正黑体_GBK" w:hAnsi="方正仿宋_GBK" w:eastAsia="方正黑体_GBK" w:cs="方正仿宋_GBK"/>
          <w:bCs/>
          <w:kern w:val="2"/>
          <w:sz w:val="32"/>
          <w:szCs w:val="32"/>
          <w:highlight w:val="none"/>
        </w:rPr>
        <w:t>第五章</w:t>
      </w:r>
      <w:r>
        <w:rPr>
          <w:rFonts w:ascii="方正黑体_GBK" w:hAnsi="方正仿宋_GBK" w:eastAsia="方正黑体_GBK" w:cs="方正仿宋_GBK"/>
          <w:bCs/>
          <w:kern w:val="2"/>
          <w:sz w:val="32"/>
          <w:szCs w:val="32"/>
          <w:highlight w:val="none"/>
        </w:rPr>
        <w:t xml:space="preserve"> </w:t>
      </w:r>
      <w:r>
        <w:rPr>
          <w:rFonts w:hint="eastAsia" w:ascii="方正黑体_GBK" w:hAnsi="方正仿宋_GBK" w:eastAsia="方正黑体_GBK" w:cs="方正仿宋_GBK"/>
          <w:bCs/>
          <w:kern w:val="2"/>
          <w:sz w:val="32"/>
          <w:szCs w:val="32"/>
          <w:highlight w:val="none"/>
        </w:rPr>
        <w:t>期限届满</w:t>
      </w:r>
      <w:r>
        <w:rPr>
          <w:rFonts w:ascii="方正黑体_GBK" w:hAnsi="方正仿宋_GBK" w:eastAsia="方正黑体_GBK" w:cs="方正仿宋_GBK"/>
          <w:bCs/>
          <w:kern w:val="2"/>
          <w:sz w:val="32"/>
          <w:szCs w:val="32"/>
          <w:highlight w:val="none"/>
        </w:rPr>
        <w:t xml:space="preserve"> </w:t>
      </w: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580" w:lineRule="exact"/>
        <w:jc w:val="center"/>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第二十三条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住宅建设用地使用权期限届满的，自动续期。</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出让人同意续期的，土地使用者应当依法办理出让、租赁等有偿用地手续，重新签订出让、租赁等土地有偿使用合同，支付土地出让价款、租金等土地有偿使用费。</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第二十四条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hint="eastAsia" w:ascii="方正楷体_GBK" w:hAnsi="方正楷体_GBK" w:eastAsia="方正楷体_GBK" w:cs="方正楷体_GBK"/>
          <w:b/>
          <w:bCs/>
          <w:kern w:val="2"/>
          <w:sz w:val="32"/>
          <w:szCs w:val="32"/>
          <w:highlight w:val="none"/>
          <w:u w:val="single"/>
        </w:rPr>
        <w:t>（一）</w:t>
      </w:r>
      <w:r>
        <w:rPr>
          <w:rFonts w:hint="eastAsia" w:ascii="方正仿宋_GBK" w:hAnsi="方正仿宋_GBK" w:eastAsia="方正仿宋_GBK" w:cs="方正仿宋_GBK"/>
          <w:kern w:val="2"/>
          <w:sz w:val="32"/>
          <w:szCs w:val="32"/>
          <w:highlight w:val="none"/>
        </w:rPr>
        <w:t>项约定履行：</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（一）由出让人收回地上建筑物、构筑物及其附属设施，并根据收回时地上建筑物、构筑物及其附属设施的残余价值，给予土地使用者相应补偿；</w:t>
      </w:r>
    </w:p>
    <w:p>
      <w:pPr>
        <w:pStyle w:val="12"/>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（二）由出让人无偿收回地上建筑物、构筑物及其附属设施。</w:t>
      </w:r>
    </w:p>
    <w:p>
      <w:pPr>
        <w:pStyle w:val="12"/>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第二十五条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580" w:lineRule="exact"/>
        <w:jc w:val="center"/>
        <w:rPr>
          <w:rFonts w:ascii="方正黑体_GBK" w:hAnsi="方正仿宋_GBK" w:eastAsia="方正黑体_GBK" w:cs="方正仿宋_GBK"/>
          <w:bCs/>
          <w:kern w:val="2"/>
          <w:sz w:val="32"/>
          <w:szCs w:val="32"/>
          <w:highlight w:val="none"/>
        </w:rPr>
      </w:pPr>
      <w:r>
        <w:rPr>
          <w:rFonts w:hint="eastAsia" w:ascii="方正黑体_GBK" w:hAnsi="方正仿宋_GBK" w:eastAsia="方正黑体_GBK" w:cs="方正仿宋_GBK"/>
          <w:bCs/>
          <w:kern w:val="2"/>
          <w:sz w:val="32"/>
          <w:szCs w:val="32"/>
          <w:highlight w:val="none"/>
        </w:rPr>
        <w:t>第六章</w:t>
      </w:r>
      <w:r>
        <w:rPr>
          <w:rFonts w:ascii="方正黑体_GBK" w:hAnsi="方正仿宋_GBK" w:eastAsia="方正黑体_GBK" w:cs="方正仿宋_GBK"/>
          <w:bCs/>
          <w:kern w:val="2"/>
          <w:sz w:val="32"/>
          <w:szCs w:val="32"/>
          <w:highlight w:val="none"/>
        </w:rPr>
        <w:t xml:space="preserve"> </w:t>
      </w:r>
      <w:r>
        <w:rPr>
          <w:rFonts w:hint="eastAsia" w:ascii="方正黑体_GBK" w:hAnsi="方正仿宋_GBK" w:eastAsia="方正黑体_GBK" w:cs="方正仿宋_GBK"/>
          <w:bCs/>
          <w:kern w:val="2"/>
          <w:sz w:val="32"/>
          <w:szCs w:val="32"/>
          <w:highlight w:val="none"/>
        </w:rPr>
        <w:t>不可抗力</w:t>
      </w:r>
    </w:p>
    <w:p>
      <w:pPr>
        <w:pStyle w:val="12"/>
        <w:spacing w:before="0" w:beforeAutospacing="0" w:after="0" w:afterAutospacing="0" w:line="580" w:lineRule="exact"/>
        <w:jc w:val="center"/>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楷体_GBK" w:hAnsi="方正仿宋_GBK" w:eastAsia="方正楷体_GBK" w:cs="方正仿宋_GBK"/>
          <w:b/>
          <w:bCs/>
          <w:kern w:val="2"/>
          <w:sz w:val="32"/>
          <w:szCs w:val="32"/>
          <w:highlight w:val="none"/>
        </w:rPr>
        <w:t>第二十六条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第二十七条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遇有不可抗力的一方，应在</w:t>
      </w:r>
      <w:r>
        <w:rPr>
          <w:rFonts w:ascii="Times New Roman" w:hAnsi="Times New Roman" w:eastAsia="方正仿宋_GBK" w:cs="Times New Roman"/>
          <w:kern w:val="2"/>
          <w:sz w:val="32"/>
          <w:szCs w:val="32"/>
          <w:highlight w:val="none"/>
        </w:rPr>
        <w:t>7</w:t>
      </w:r>
      <w:r>
        <w:rPr>
          <w:rFonts w:hint="eastAsia" w:ascii="方正仿宋_GBK" w:hAnsi="方正仿宋_GBK" w:eastAsia="方正仿宋_GBK" w:cs="方正仿宋_GBK"/>
          <w:kern w:val="2"/>
          <w:sz w:val="32"/>
          <w:szCs w:val="32"/>
          <w:highlight w:val="none"/>
        </w:rPr>
        <w:t>日内将不可抗力情况以信函、电报、传真等书面形式通知另一方，并在不可抗力发生后</w:t>
      </w:r>
      <w:r>
        <w:rPr>
          <w:rFonts w:ascii="Times New Roman" w:hAnsi="Times New Roman" w:eastAsia="方正仿宋_GBK" w:cs="Times New Roman"/>
          <w:kern w:val="2"/>
          <w:sz w:val="32"/>
          <w:szCs w:val="32"/>
          <w:highlight w:val="none"/>
        </w:rPr>
        <w:t>15</w:t>
      </w:r>
      <w:r>
        <w:rPr>
          <w:rFonts w:hint="eastAsia" w:ascii="方正仿宋_GBK" w:hAnsi="方正仿宋_GBK" w:eastAsia="方正仿宋_GBK" w:cs="方正仿宋_GBK"/>
          <w:kern w:val="2"/>
          <w:sz w:val="32"/>
          <w:szCs w:val="32"/>
          <w:highlight w:val="none"/>
        </w:rPr>
        <w:t xml:space="preserve">日内，向另一方提交本合同部分或全部不能履行或需要延期履行的报告及证明。   </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580" w:lineRule="exact"/>
        <w:jc w:val="center"/>
        <w:rPr>
          <w:rFonts w:ascii="方正黑体_GBK" w:hAnsi="方正仿宋_GBK" w:eastAsia="方正黑体_GBK" w:cs="方正仿宋_GBK"/>
          <w:bCs/>
          <w:kern w:val="2"/>
          <w:sz w:val="32"/>
          <w:szCs w:val="32"/>
          <w:highlight w:val="none"/>
        </w:rPr>
      </w:pPr>
      <w:r>
        <w:rPr>
          <w:rFonts w:hint="eastAsia" w:ascii="方正黑体_GBK" w:hAnsi="方正仿宋_GBK" w:eastAsia="方正黑体_GBK" w:cs="方正仿宋_GBK"/>
          <w:bCs/>
          <w:kern w:val="2"/>
          <w:sz w:val="32"/>
          <w:szCs w:val="32"/>
          <w:highlight w:val="none"/>
        </w:rPr>
        <w:t>第七章</w:t>
      </w:r>
      <w:r>
        <w:rPr>
          <w:rFonts w:ascii="方正黑体_GBK" w:hAnsi="方正仿宋_GBK" w:eastAsia="方正黑体_GBK" w:cs="方正仿宋_GBK"/>
          <w:bCs/>
          <w:kern w:val="2"/>
          <w:sz w:val="32"/>
          <w:szCs w:val="32"/>
          <w:highlight w:val="none"/>
        </w:rPr>
        <w:t xml:space="preserve"> </w:t>
      </w:r>
      <w:r>
        <w:rPr>
          <w:rFonts w:hint="eastAsia" w:ascii="方正黑体_GBK" w:hAnsi="方正仿宋_GBK" w:eastAsia="方正黑体_GBK" w:cs="方正仿宋_GBK"/>
          <w:bCs/>
          <w:kern w:val="2"/>
          <w:sz w:val="32"/>
          <w:szCs w:val="32"/>
          <w:highlight w:val="none"/>
        </w:rPr>
        <w:t>违约责任</w:t>
      </w:r>
    </w:p>
    <w:p>
      <w:pPr>
        <w:pStyle w:val="12"/>
        <w:spacing w:before="0" w:beforeAutospacing="0" w:after="0" w:afterAutospacing="0" w:line="580" w:lineRule="exact"/>
        <w:jc w:val="center"/>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u w:val="single"/>
        </w:rPr>
      </w:pPr>
      <w:r>
        <w:rPr>
          <w:rFonts w:hint="eastAsia" w:ascii="方正楷体_GBK" w:hAnsi="方正仿宋_GBK" w:eastAsia="方正楷体_GBK" w:cs="方正仿宋_GBK"/>
          <w:b/>
          <w:bCs/>
          <w:kern w:val="2"/>
          <w:sz w:val="32"/>
          <w:szCs w:val="32"/>
          <w:highlight w:val="none"/>
        </w:rPr>
        <w:t>第二十八条</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受让人应当按照本合同约定，按时支付国有建设用地使用权出让价款。受让人不能按时支付国有建设用地使用权出让价款的，自滞纳之日起，</w:t>
      </w:r>
      <w:r>
        <w:rPr>
          <w:rFonts w:hint="eastAsia" w:ascii="方正仿宋_GBK" w:hAnsi="方正仿宋_GBK" w:eastAsia="方正仿宋_GBK" w:cs="方正仿宋_GBK"/>
          <w:spacing w:val="26"/>
          <w:kern w:val="2"/>
          <w:sz w:val="32"/>
          <w:szCs w:val="32"/>
          <w:highlight w:val="none"/>
        </w:rPr>
        <w:t>每日按迟延支付款项</w:t>
      </w:r>
      <w:r>
        <w:rPr>
          <w:rFonts w:hint="eastAsia" w:ascii="方正仿宋_GBK" w:hAnsi="方正仿宋_GBK" w:eastAsia="方正仿宋_GBK" w:cs="方正仿宋_GBK"/>
          <w:kern w:val="2"/>
          <w:sz w:val="32"/>
          <w:szCs w:val="32"/>
          <w:highlight w:val="none"/>
        </w:rPr>
        <w:t>的</w:t>
      </w:r>
      <w:r>
        <w:rPr>
          <w:rFonts w:hint="eastAsia" w:ascii="Times New Roman" w:hAnsi="Times New Roman" w:eastAsia="方正仿宋_GBK" w:cs="Times New Roman"/>
          <w:b/>
          <w:bCs/>
          <w:kern w:val="2"/>
          <w:sz w:val="32"/>
          <w:szCs w:val="32"/>
          <w:highlight w:val="none"/>
          <w:u w:val="single"/>
        </w:rPr>
        <w:t xml:space="preserve">1 </w:t>
      </w:r>
      <w:r>
        <w:rPr>
          <w:rFonts w:ascii="Times New Roman" w:hAnsi="Times New Roman" w:eastAsia="方正仿宋_GBK" w:cs="Times New Roman"/>
          <w:b/>
          <w:bCs/>
          <w:kern w:val="2"/>
          <w:sz w:val="32"/>
          <w:szCs w:val="32"/>
          <w:highlight w:val="none"/>
        </w:rPr>
        <w:t>‰</w:t>
      </w:r>
      <w:r>
        <w:rPr>
          <w:rFonts w:hint="eastAsia" w:ascii="方正仿宋_GBK" w:hAnsi="方正仿宋_GBK" w:eastAsia="方正仿宋_GBK" w:cs="方正仿宋_GBK"/>
          <w:kern w:val="2"/>
          <w:sz w:val="32"/>
          <w:szCs w:val="32"/>
          <w:highlight w:val="none"/>
        </w:rPr>
        <w:t>向出让人缴纳违约金，延期付款超过</w:t>
      </w:r>
      <w:r>
        <w:rPr>
          <w:rFonts w:ascii="Times New Roman" w:hAnsi="Times New Roman" w:eastAsia="方正仿宋_GBK" w:cs="Times New Roman"/>
          <w:kern w:val="2"/>
          <w:sz w:val="32"/>
          <w:szCs w:val="32"/>
          <w:highlight w:val="none"/>
        </w:rPr>
        <w:t>60</w:t>
      </w:r>
      <w:r>
        <w:rPr>
          <w:rFonts w:hint="eastAsia" w:ascii="方正仿宋_GBK" w:hAnsi="方正仿宋_GBK" w:eastAsia="方正仿宋_GBK" w:cs="方正仿宋_GBK"/>
          <w:kern w:val="2"/>
          <w:sz w:val="32"/>
          <w:szCs w:val="32"/>
          <w:highlight w:val="none"/>
        </w:rPr>
        <w:t>日，经出让人催交后仍不能支付国有建设用地使用权出让价款</w:t>
      </w:r>
      <w:r>
        <w:rPr>
          <w:rFonts w:hint="eastAsia" w:ascii="方正仿宋简体" w:hAnsi="方正仿宋简体" w:eastAsia="方正仿宋简体" w:cs="方正仿宋简体"/>
          <w:kern w:val="2"/>
          <w:sz w:val="32"/>
          <w:szCs w:val="32"/>
          <w:highlight w:val="none"/>
        </w:rPr>
        <w:t>（含延迟缴纳国有建设用地使用权出让价款违约金及分期付款利息）</w:t>
      </w:r>
      <w:r>
        <w:rPr>
          <w:rFonts w:hint="eastAsia" w:ascii="方正仿宋_GBK" w:hAnsi="方正仿宋_GBK" w:eastAsia="方正仿宋_GBK" w:cs="方正仿宋_GBK"/>
          <w:kern w:val="2"/>
          <w:sz w:val="32"/>
          <w:szCs w:val="32"/>
          <w:highlight w:val="none"/>
        </w:rPr>
        <w:t>的，出让人有权解除合同，受让人无权要求返还定金，出让人并可请求受让人赔偿损失。</w:t>
      </w:r>
    </w:p>
    <w:p>
      <w:pPr>
        <w:pStyle w:val="12"/>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第二十九条</w:t>
      </w:r>
      <w:r>
        <w:rPr>
          <w:rFonts w:hint="eastAsia" w:ascii="方正仿宋_GBK" w:hAnsi="方正仿宋_GBK" w:eastAsia="方正仿宋_GBK" w:cs="方正仿宋_GBK"/>
          <w:kern w:val="2"/>
          <w:sz w:val="32"/>
          <w:szCs w:val="32"/>
          <w:highlight w:val="none"/>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2"/>
        <w:autoSpaceDE w:val="0"/>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（一）受让人在本合同约定的开工建设日期届满一年前不少于</w:t>
      </w:r>
      <w:r>
        <w:rPr>
          <w:rFonts w:ascii="Times New Roman" w:hAnsi="Times New Roman" w:eastAsia="方正仿宋_GBK" w:cs="Times New Roman"/>
          <w:kern w:val="2"/>
          <w:sz w:val="32"/>
          <w:szCs w:val="32"/>
          <w:highlight w:val="none"/>
        </w:rPr>
        <w:t>60</w:t>
      </w:r>
      <w:r>
        <w:rPr>
          <w:rFonts w:hint="eastAsia" w:ascii="方正仿宋_GBK" w:hAnsi="方正仿宋_GBK" w:eastAsia="方正仿宋_GBK" w:cs="方正仿宋_GBK"/>
          <w:kern w:val="2"/>
          <w:sz w:val="32"/>
          <w:szCs w:val="32"/>
          <w:highlight w:val="none"/>
        </w:rPr>
        <w:t>日向出让人提出申请的，出让人在扣除定金后退还受让人已支付的国有建设用地使用权出让价款；</w:t>
      </w:r>
    </w:p>
    <w:p>
      <w:pPr>
        <w:pStyle w:val="12"/>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（二）受让人在本合同约定的开工建设日期超过一年但未满二年，并在届满二年前不少于</w:t>
      </w:r>
      <w:r>
        <w:rPr>
          <w:rFonts w:ascii="Times New Roman" w:hAnsi="Times New Roman" w:eastAsia="方正仿宋_GBK" w:cs="Times New Roman"/>
          <w:kern w:val="2"/>
          <w:sz w:val="32"/>
          <w:szCs w:val="32"/>
          <w:highlight w:val="none"/>
        </w:rPr>
        <w:t>60</w:t>
      </w:r>
      <w:r>
        <w:rPr>
          <w:rFonts w:hint="eastAsia" w:ascii="方正仿宋_GBK" w:hAnsi="方正仿宋_GBK" w:eastAsia="方正仿宋_GBK" w:cs="方正仿宋_GBK"/>
          <w:kern w:val="2"/>
          <w:sz w:val="32"/>
          <w:szCs w:val="32"/>
          <w:highlight w:val="none"/>
        </w:rPr>
        <w:t>日向出让人提出申请的，出让人应在扣除本合同约定的定金，并按照规定征收土地闲置费后，将剩余的已付国有建设用地使用权出让价款退还受让人。</w:t>
      </w:r>
    </w:p>
    <w:p>
      <w:pPr>
        <w:pStyle w:val="12"/>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楷体_GBK" w:hAnsi="方正仿宋_GBK" w:eastAsia="方正楷体_GBK" w:cs="方正仿宋_GBK"/>
          <w:b/>
          <w:bCs/>
          <w:kern w:val="2"/>
          <w:sz w:val="32"/>
          <w:szCs w:val="32"/>
          <w:highlight w:val="none"/>
        </w:rPr>
        <w:t>第三十条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受让人造成土地闲置，闲置满一年不满两年的，应依法缴纳土地闲置费；土地闲置满两年且未开工建设的，出让人有权无偿收回国有建设用地使用权。</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第三十一条</w:t>
      </w:r>
      <w:r>
        <w:rPr>
          <w:rFonts w:hint="eastAsia" w:ascii="方正仿宋_GBK" w:hAnsi="方正仿宋_GBK" w:eastAsia="方正仿宋_GBK" w:cs="方正仿宋_GBK"/>
          <w:kern w:val="2"/>
          <w:sz w:val="32"/>
          <w:szCs w:val="32"/>
          <w:highlight w:val="none"/>
        </w:rPr>
        <w:t xml:space="preserve"> 受让人未能按照本合同约定日期或同意延建所另行约定日期开工建设的，每延期一日，应向出让人支付相当于国有建设用地使用权出让价款总额</w:t>
      </w:r>
      <w:r>
        <w:rPr>
          <w:rFonts w:hint="eastAsia"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Times New Roman" w:eastAsia="方正仿宋_GBK" w:cs="Times New Roman"/>
          <w:b/>
          <w:bCs/>
          <w:kern w:val="2"/>
          <w:sz w:val="32"/>
          <w:szCs w:val="32"/>
          <w:highlight w:val="none"/>
        </w:rPr>
        <w:t>‰</w:t>
      </w:r>
      <w:r>
        <w:rPr>
          <w:rFonts w:hint="eastAsia" w:ascii="方正仿宋_GBK" w:hAnsi="方正仿宋_GBK" w:eastAsia="方正仿宋_GBK" w:cs="方正仿宋_GBK"/>
          <w:kern w:val="2"/>
          <w:sz w:val="32"/>
          <w:szCs w:val="32"/>
          <w:highlight w:val="none"/>
        </w:rPr>
        <w:t>的违约金，出让人有权要求受让人继续履约。</w:t>
      </w:r>
    </w:p>
    <w:p>
      <w:pPr>
        <w:pStyle w:val="12"/>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
        </w:rPr>
        <w:t xml:space="preserve"> </w:t>
      </w:r>
      <w:bookmarkStart w:id="1" w:name="_GoBack"/>
      <w:bookmarkEnd w:id="1"/>
      <w:r>
        <w:rPr>
          <w:rFonts w:ascii="Times New Roman" w:hAnsi="Times New Roman" w:eastAsia="方正仿宋_GBK" w:cs="Times New Roman"/>
          <w:b/>
          <w:bCs/>
          <w:kern w:val="2"/>
          <w:sz w:val="32"/>
          <w:szCs w:val="32"/>
          <w:highlight w:val="none"/>
          <w:u w:val="single"/>
        </w:rPr>
        <w:t xml:space="preserve"> </w:t>
      </w:r>
      <w:r>
        <w:rPr>
          <w:rFonts w:ascii="Times New Roman" w:hAnsi="Times New Roman" w:eastAsia="方正仿宋_GBK" w:cs="Times New Roman"/>
          <w:b/>
          <w:bCs/>
          <w:kern w:val="2"/>
          <w:sz w:val="32"/>
          <w:szCs w:val="32"/>
          <w:highlight w:val="none"/>
        </w:rPr>
        <w:t>‰</w:t>
      </w:r>
      <w:r>
        <w:rPr>
          <w:rFonts w:hint="eastAsia" w:ascii="方正仿宋_GBK" w:hAnsi="方正仿宋_GBK" w:eastAsia="方正仿宋_GBK" w:cs="方正仿宋_GBK"/>
          <w:kern w:val="2"/>
          <w:sz w:val="32"/>
          <w:szCs w:val="32"/>
          <w:highlight w:val="none"/>
        </w:rPr>
        <w:t>的违约金。</w:t>
      </w:r>
    </w:p>
    <w:p>
      <w:pPr>
        <w:pStyle w:val="12"/>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方正仿宋_GBK"/>
          <w:b/>
          <w:bCs/>
          <w:kern w:val="2"/>
          <w:sz w:val="32"/>
          <w:szCs w:val="32"/>
          <w:highlight w:val="none"/>
        </w:rPr>
        <w:t xml:space="preserve"> </w:t>
      </w:r>
      <w:r>
        <w:rPr>
          <w:rFonts w:hint="eastAsia" w:ascii="方正楷体_GBK" w:hAnsi="方正仿宋_GBK" w:eastAsia="方正楷体_GBK" w:cs="方正仿宋_GBK"/>
          <w:b/>
          <w:bCs/>
          <w:kern w:val="2"/>
          <w:sz w:val="32"/>
          <w:szCs w:val="32"/>
          <w:highlight w:val="none"/>
        </w:rPr>
        <w:t>第三十二条</w:t>
      </w:r>
      <w:r>
        <w:rPr>
          <w:rFonts w:hint="eastAsia" w:ascii="方正仿宋_GBK" w:hAnsi="方正仿宋_GBK" w:eastAsia="方正仿宋_GBK" w:cs="方正仿宋_GBK"/>
          <w:kern w:val="2"/>
          <w:sz w:val="32"/>
          <w:szCs w:val="32"/>
          <w:highlight w:val="none"/>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第三十三条</w:t>
      </w:r>
      <w:r>
        <w:rPr>
          <w:rFonts w:hint="eastAsia" w:ascii="方正仿宋_GBK" w:hAnsi="方正仿宋_GBK" w:eastAsia="方正仿宋_GBK" w:cs="方正仿宋_GBK"/>
          <w:kern w:val="2"/>
          <w:sz w:val="32"/>
          <w:szCs w:val="32"/>
          <w:highlight w:val="none"/>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autoSpaceDE w:val="0"/>
        <w:spacing w:line="580" w:lineRule="exact"/>
        <w:ind w:firstLine="642" w:firstLineChars="200"/>
        <w:rPr>
          <w:rFonts w:ascii="方正仿宋_GBK" w:hAnsi="方正仿宋_GBK" w:eastAsia="方正仿宋_GBK" w:cs="方正仿宋_GBK"/>
          <w:sz w:val="32"/>
          <w:szCs w:val="32"/>
          <w:highlight w:val="none"/>
        </w:rPr>
      </w:pPr>
      <w:r>
        <w:rPr>
          <w:rFonts w:hint="eastAsia" w:ascii="方正楷体_GBK" w:hAnsi="方正仿宋_GBK" w:eastAsia="方正楷体_GBK" w:cs="方正仿宋_GBK"/>
          <w:b/>
          <w:bCs/>
          <w:sz w:val="32"/>
          <w:szCs w:val="32"/>
          <w:highlight w:val="none"/>
        </w:rPr>
        <w:t>第三十四条</w:t>
      </w:r>
      <w:r>
        <w:rPr>
          <w:rFonts w:ascii="Times New Roman" w:hAnsi="Times New Roman" w:eastAsia="方正仿宋_GBK" w:cs="Times New Roman"/>
          <w:sz w:val="32"/>
          <w:szCs w:val="32"/>
          <w:highlight w:val="none"/>
        </w:rPr>
        <w:t xml:space="preserve">  </w:t>
      </w:r>
      <w:r>
        <w:rPr>
          <w:rFonts w:hint="eastAsia" w:ascii="方正仿宋_GBK" w:hAnsi="方正仿宋_GBK" w:eastAsia="方正仿宋_GBK" w:cs="方正仿宋_GBK"/>
          <w:sz w:val="32"/>
          <w:szCs w:val="32"/>
          <w:highlight w:val="none"/>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autoSpaceDE w:val="0"/>
        <w:spacing w:line="580" w:lineRule="exact"/>
        <w:ind w:firstLine="640" w:firstLineChars="200"/>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受让人按照《国有建设用地使用权出让合同》约定期限缴清国有建设用地使用权出让价款（含延迟缴纳国有建设用地使用权出让价款</w:t>
      </w:r>
      <w:r>
        <w:rPr>
          <w:rFonts w:ascii="Times New Roman" w:hAnsi="Times New Roman" w:eastAsia="方正仿宋_GBK" w:cs="Times New Roman"/>
          <w:sz w:val="32"/>
          <w:szCs w:val="32"/>
          <w:highlight w:val="none"/>
        </w:rPr>
        <w:t>违约金及分期付款利息）并提出交地申请的，出让人接到交地申请后10个工作日并达到约定交地时间因出让</w:t>
      </w:r>
      <w:r>
        <w:rPr>
          <w:rFonts w:hint="eastAsia" w:ascii="方正仿宋_GBK" w:hAnsi="方正仿宋_GBK" w:eastAsia="方正仿宋_GBK" w:cs="方正仿宋_GBK"/>
          <w:sz w:val="32"/>
          <w:szCs w:val="32"/>
          <w:highlight w:val="none"/>
        </w:rPr>
        <w:t>人原因未交付土地的，每延期一日，出让人应当按国有建设用地使用权出让价款（不含延迟缴纳国有建设用地使用权出让价款违约金及分期付款利息）的</w:t>
      </w:r>
      <w:r>
        <w:rPr>
          <w:rFonts w:ascii="Times New Roman" w:hAnsi="Times New Roman" w:eastAsia="方正仿宋_GBK" w:cs="Times New Roman"/>
          <w:sz w:val="32"/>
          <w:szCs w:val="32"/>
          <w:highlight w:val="none"/>
        </w:rPr>
        <w:t>1‰</w:t>
      </w:r>
      <w:r>
        <w:rPr>
          <w:rFonts w:hint="eastAsia" w:ascii="方正仿宋_GBK" w:hAnsi="方正仿宋_GBK" w:eastAsia="方正仿宋_GBK" w:cs="方正仿宋_GBK"/>
          <w:sz w:val="32"/>
          <w:szCs w:val="32"/>
          <w:highlight w:val="none"/>
        </w:rPr>
        <w:t>向受让人给付违约金，土地使用年期自实际交付土地之日起算，开竣工时间按实际交付土地之日起顺延。</w:t>
      </w:r>
      <w:r>
        <w:rPr>
          <w:rFonts w:ascii="Times New Roman" w:hAnsi="Times New Roman" w:eastAsia="方正仿宋_GBK" w:cs="Times New Roman"/>
          <w:sz w:val="32"/>
          <w:szCs w:val="32"/>
          <w:highlight w:val="none"/>
        </w:rPr>
        <w:t>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12"/>
        <w:spacing w:before="0" w:beforeAutospacing="0" w:after="0" w:afterAutospacing="0" w:line="580" w:lineRule="exact"/>
        <w:ind w:firstLine="645"/>
        <w:jc w:val="both"/>
        <w:rPr>
          <w:rFonts w:ascii="Times New Roman" w:hAnsi="Times New Roman" w:eastAsia="方正仿宋_GBK" w:cs="Times New Roman"/>
          <w:b/>
          <w:kern w:val="2"/>
          <w:sz w:val="32"/>
          <w:szCs w:val="32"/>
          <w:highlight w:val="none"/>
        </w:rPr>
      </w:pPr>
      <w:r>
        <w:rPr>
          <w:rFonts w:hint="eastAsia" w:ascii="方正楷体_GBK" w:hAnsi="方正仿宋_GBK" w:eastAsia="方正楷体_GBK" w:cs="方正仿宋_GBK"/>
          <w:b/>
          <w:bCs/>
          <w:kern w:val="2"/>
          <w:sz w:val="32"/>
          <w:szCs w:val="32"/>
          <w:highlight w:val="none"/>
        </w:rPr>
        <w:t>第三十五条</w:t>
      </w:r>
      <w:r>
        <w:rPr>
          <w:rFonts w:hint="eastAsia"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580" w:lineRule="exact"/>
        <w:jc w:val="center"/>
        <w:rPr>
          <w:rFonts w:ascii="方正黑体_GBK" w:hAnsi="方正仿宋_GBK" w:eastAsia="方正黑体_GBK" w:cs="方正仿宋_GBK"/>
          <w:bCs/>
          <w:kern w:val="2"/>
          <w:sz w:val="32"/>
          <w:szCs w:val="32"/>
          <w:highlight w:val="none"/>
        </w:rPr>
      </w:pPr>
      <w:r>
        <w:rPr>
          <w:rFonts w:hint="eastAsia" w:ascii="方正黑体_GBK" w:hAnsi="方正仿宋_GBK" w:eastAsia="方正黑体_GBK" w:cs="方正仿宋_GBK"/>
          <w:bCs/>
          <w:kern w:val="2"/>
          <w:sz w:val="32"/>
          <w:szCs w:val="32"/>
          <w:highlight w:val="none"/>
        </w:rPr>
        <w:t>第八章</w:t>
      </w:r>
      <w:r>
        <w:rPr>
          <w:rFonts w:ascii="方正黑体_GBK" w:hAnsi="方正仿宋_GBK" w:eastAsia="方正黑体_GBK" w:cs="方正仿宋_GBK"/>
          <w:bCs/>
          <w:kern w:val="2"/>
          <w:sz w:val="32"/>
          <w:szCs w:val="32"/>
          <w:highlight w:val="none"/>
        </w:rPr>
        <w:t xml:space="preserve"> </w:t>
      </w:r>
      <w:r>
        <w:rPr>
          <w:rFonts w:hint="eastAsia" w:ascii="方正黑体_GBK" w:hAnsi="方正仿宋_GBK" w:eastAsia="方正黑体_GBK" w:cs="方正仿宋_GBK"/>
          <w:bCs/>
          <w:kern w:val="2"/>
          <w:sz w:val="32"/>
          <w:szCs w:val="32"/>
          <w:highlight w:val="none"/>
        </w:rPr>
        <w:t>适用法律及争议解决</w:t>
      </w:r>
    </w:p>
    <w:p>
      <w:pPr>
        <w:pStyle w:val="12"/>
        <w:spacing w:before="0" w:beforeAutospacing="0" w:after="0" w:afterAutospacing="0" w:line="580" w:lineRule="exact"/>
        <w:jc w:val="center"/>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方正仿宋_GBK"/>
          <w:b/>
          <w:bCs/>
          <w:kern w:val="2"/>
          <w:sz w:val="32"/>
          <w:szCs w:val="32"/>
          <w:highlight w:val="none"/>
        </w:rPr>
        <w:t xml:space="preserve"> </w:t>
      </w:r>
      <w:r>
        <w:rPr>
          <w:rFonts w:hint="eastAsia" w:ascii="方正楷体_GBK" w:hAnsi="方正仿宋_GBK" w:eastAsia="方正楷体_GBK" w:cs="方正仿宋_GBK"/>
          <w:b/>
          <w:bCs/>
          <w:kern w:val="2"/>
          <w:sz w:val="32"/>
          <w:szCs w:val="32"/>
          <w:highlight w:val="none"/>
        </w:rPr>
        <w:t>第三十六条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本合同订立、效力、解释、履行及争议的解决，适用中华人民共和国法律。</w:t>
      </w:r>
    </w:p>
    <w:p>
      <w:pPr>
        <w:pStyle w:val="12"/>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楷体_GBK" w:hAnsi="方正仿宋_GBK" w:eastAsia="方正楷体_GBK" w:cs="方正仿宋_GBK"/>
          <w:b/>
          <w:bCs/>
          <w:kern w:val="2"/>
          <w:sz w:val="32"/>
          <w:szCs w:val="32"/>
          <w:highlight w:val="none"/>
        </w:rPr>
        <w:t>第三十七条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因履行本合同发生争议，由争议双方协商解决，协商不成的，按本条第</w:t>
      </w:r>
      <w:r>
        <w:rPr>
          <w:rFonts w:hint="eastAsia" w:ascii="方正楷体_GBK" w:hAnsi="方正楷体_GBK" w:eastAsia="方正楷体_GBK" w:cs="方正楷体_GBK"/>
          <w:b/>
          <w:bCs/>
          <w:kern w:val="2"/>
          <w:sz w:val="32"/>
          <w:szCs w:val="32"/>
          <w:highlight w:val="none"/>
          <w:u w:val="single"/>
        </w:rPr>
        <w:t>（二）</w:t>
      </w:r>
      <w:r>
        <w:rPr>
          <w:rFonts w:hint="eastAsia" w:ascii="方正仿宋_GBK" w:hAnsi="方正仿宋_GBK" w:eastAsia="方正仿宋_GBK" w:cs="方正仿宋_GBK"/>
          <w:kern w:val="2"/>
          <w:sz w:val="32"/>
          <w:szCs w:val="32"/>
          <w:highlight w:val="none"/>
        </w:rPr>
        <w:t>项约定的方式解决：</w:t>
      </w:r>
    </w:p>
    <w:p>
      <w:pPr>
        <w:pStyle w:val="12"/>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（一）提交</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仲裁委员会仲裁；</w:t>
      </w:r>
    </w:p>
    <w:p>
      <w:pPr>
        <w:pStyle w:val="12"/>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（二）依法向人民法院起诉。</w:t>
      </w: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580" w:lineRule="exact"/>
        <w:jc w:val="center"/>
        <w:rPr>
          <w:rFonts w:ascii="方正黑体_GBK" w:hAnsi="方正仿宋_GBK" w:eastAsia="方正黑体_GBK" w:cs="方正仿宋_GBK"/>
          <w:bCs/>
          <w:kern w:val="2"/>
          <w:sz w:val="32"/>
          <w:szCs w:val="32"/>
          <w:highlight w:val="none"/>
        </w:rPr>
      </w:pPr>
      <w:r>
        <w:rPr>
          <w:rFonts w:hint="eastAsia" w:ascii="方正黑体_GBK" w:hAnsi="方正仿宋_GBK" w:eastAsia="方正黑体_GBK" w:cs="方正仿宋_GBK"/>
          <w:bCs/>
          <w:kern w:val="2"/>
          <w:sz w:val="32"/>
          <w:szCs w:val="32"/>
          <w:highlight w:val="none"/>
        </w:rPr>
        <w:t>第九章</w:t>
      </w:r>
      <w:r>
        <w:rPr>
          <w:rFonts w:ascii="方正黑体_GBK" w:hAnsi="方正仿宋_GBK" w:eastAsia="方正黑体_GBK" w:cs="方正仿宋_GBK"/>
          <w:bCs/>
          <w:kern w:val="2"/>
          <w:sz w:val="32"/>
          <w:szCs w:val="32"/>
          <w:highlight w:val="none"/>
        </w:rPr>
        <w:t xml:space="preserve"> </w:t>
      </w:r>
      <w:r>
        <w:rPr>
          <w:rFonts w:hint="eastAsia" w:ascii="方正黑体_GBK" w:hAnsi="方正仿宋_GBK" w:eastAsia="方正黑体_GBK" w:cs="方正仿宋_GBK"/>
          <w:bCs/>
          <w:kern w:val="2"/>
          <w:sz w:val="32"/>
          <w:szCs w:val="32"/>
          <w:highlight w:val="none"/>
        </w:rPr>
        <w:t>附</w:t>
      </w:r>
      <w:r>
        <w:rPr>
          <w:rFonts w:ascii="方正黑体_GBK" w:hAnsi="方正仿宋_GBK" w:eastAsia="方正黑体_GBK" w:cs="方正仿宋_GBK"/>
          <w:bCs/>
          <w:kern w:val="2"/>
          <w:sz w:val="32"/>
          <w:szCs w:val="32"/>
          <w:highlight w:val="none"/>
        </w:rPr>
        <w:t xml:space="preserve"> </w:t>
      </w:r>
      <w:r>
        <w:rPr>
          <w:rFonts w:hint="eastAsia" w:ascii="方正黑体_GBK" w:hAnsi="方正仿宋_GBK" w:eastAsia="方正黑体_GBK" w:cs="方正仿宋_GBK"/>
          <w:bCs/>
          <w:kern w:val="2"/>
          <w:sz w:val="32"/>
          <w:szCs w:val="32"/>
          <w:highlight w:val="none"/>
        </w:rPr>
        <w:t>则</w:t>
      </w:r>
    </w:p>
    <w:p>
      <w:pPr>
        <w:pStyle w:val="12"/>
        <w:spacing w:before="0" w:beforeAutospacing="0" w:after="0" w:afterAutospacing="0" w:line="580" w:lineRule="exact"/>
        <w:jc w:val="center"/>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第三十八条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本合同项下宗地出让方案业经</w:t>
      </w:r>
      <w:r>
        <w:rPr>
          <w:rFonts w:hint="eastAsia" w:ascii="方正仿宋_GBK" w:hAnsi="方正仿宋_GBK" w:eastAsia="方正仿宋_GBK" w:cs="方正仿宋_GBK"/>
          <w:kern w:val="2"/>
          <w:sz w:val="32"/>
          <w:szCs w:val="32"/>
          <w:highlight w:val="none"/>
          <w:u w:val="single"/>
        </w:rPr>
        <w:t>资阳市</w:t>
      </w:r>
      <w:r>
        <w:rPr>
          <w:rFonts w:hint="eastAsia" w:ascii="方正仿宋_GBK" w:hAnsi="方正仿宋_GBK" w:eastAsia="方正仿宋_GBK" w:cs="方正仿宋_GBK"/>
          <w:kern w:val="2"/>
          <w:sz w:val="32"/>
          <w:szCs w:val="32"/>
          <w:highlight w:val="none"/>
        </w:rPr>
        <w:t>人民政府批准，本合同自双方签订之日起生效。</w:t>
      </w:r>
    </w:p>
    <w:p>
      <w:pPr>
        <w:pStyle w:val="12"/>
        <w:spacing w:before="0" w:beforeAutospacing="0" w:after="0" w:afterAutospacing="0" w:line="580" w:lineRule="exact"/>
        <w:ind w:firstLine="645"/>
        <w:jc w:val="both"/>
        <w:rPr>
          <w:rFonts w:ascii="Times New Roman" w:hAnsi="Times New Roman" w:eastAsia="方正仿宋_GBK" w:cs="Times New Roman"/>
          <w:b/>
          <w:bCs/>
          <w:kern w:val="2"/>
          <w:sz w:val="32"/>
          <w:szCs w:val="32"/>
          <w:highlight w:val="none"/>
        </w:rPr>
      </w:pPr>
      <w:r>
        <w:rPr>
          <w:rFonts w:hint="eastAsia" w:ascii="方正楷体_GBK" w:hAnsi="方正仿宋_GBK" w:eastAsia="方正楷体_GBK" w:cs="方正仿宋_GBK"/>
          <w:b/>
          <w:bCs/>
          <w:kern w:val="2"/>
          <w:sz w:val="32"/>
          <w:szCs w:val="32"/>
          <w:highlight w:val="none"/>
        </w:rPr>
        <w:t>第三十九条</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本</w:t>
      </w:r>
      <w:r>
        <w:rPr>
          <w:rFonts w:hint="eastAsia" w:ascii="方正仿宋_GBK" w:hAnsi="方正仿宋_GBK" w:eastAsia="方正仿宋_GBK" w:cs="方正仿宋_GBK"/>
          <w:sz w:val="32"/>
          <w:szCs w:val="32"/>
          <w:highlight w:val="none"/>
        </w:rPr>
        <w:t>合同双方当事人均保证本合同中所填写的姓名、</w:t>
      </w:r>
      <w:r>
        <w:rPr>
          <w:rFonts w:hint="eastAsia" w:ascii="方正仿宋_GBK" w:hAnsi="方正仿宋_GBK" w:eastAsia="方正仿宋_GBK" w:cs="方正仿宋_GBK"/>
          <w:kern w:val="2"/>
          <w:sz w:val="32"/>
          <w:szCs w:val="32"/>
          <w:highlight w:val="none"/>
        </w:rPr>
        <w:t>通讯地址、电话、传真、开户银行、</w:t>
      </w:r>
      <w:r>
        <w:rPr>
          <w:rFonts w:hint="eastAsia" w:ascii="方正仿宋_GBK" w:hAnsi="方正仿宋_GBK" w:eastAsia="方正仿宋_GBK" w:cs="方正仿宋_GBK"/>
          <w:sz w:val="32"/>
          <w:szCs w:val="32"/>
          <w:highlight w:val="none"/>
        </w:rPr>
        <w:t>代理人等内容的真实有效，一方的信息如有变更，应于变更之日起</w:t>
      </w:r>
      <w:r>
        <w:rPr>
          <w:rFonts w:ascii="Times New Roman" w:hAnsi="Times New Roman" w:eastAsia="方正仿宋_GBK" w:cs="Times New Roman"/>
          <w:sz w:val="32"/>
          <w:szCs w:val="32"/>
          <w:highlight w:val="none"/>
        </w:rPr>
        <w:t>15</w:t>
      </w:r>
      <w:r>
        <w:rPr>
          <w:rFonts w:hint="eastAsia" w:ascii="方正仿宋_GBK" w:hAnsi="方正仿宋_GBK" w:eastAsia="方正仿宋_GBK" w:cs="方正仿宋_GBK"/>
          <w:sz w:val="32"/>
          <w:szCs w:val="32"/>
          <w:highlight w:val="none"/>
        </w:rPr>
        <w:t>日内以书面形式告知对方，否则由此引起的无法及时告知的责任由信息变更方承担。</w:t>
      </w:r>
    </w:p>
    <w:p>
      <w:pPr>
        <w:pStyle w:val="12"/>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楷体_GBK" w:hAnsi="方正仿宋_GBK" w:eastAsia="方正楷体_GBK" w:cs="方正仿宋_GBK"/>
          <w:b/>
          <w:bCs/>
          <w:kern w:val="2"/>
          <w:sz w:val="32"/>
          <w:szCs w:val="32"/>
          <w:highlight w:val="none"/>
        </w:rPr>
        <w:t>第四十条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本合同和附件共</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 xml:space="preserve">  </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页整，以中文书写为准。</w:t>
      </w:r>
    </w:p>
    <w:p>
      <w:pPr>
        <w:pStyle w:val="12"/>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楷体_GBK" w:hAnsi="方正仿宋_GBK" w:eastAsia="方正楷体_GBK" w:cs="方正仿宋_GBK"/>
          <w:b/>
          <w:bCs/>
          <w:kern w:val="2"/>
          <w:sz w:val="32"/>
          <w:szCs w:val="32"/>
          <w:highlight w:val="none"/>
        </w:rPr>
        <w:t>第四十一条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本合同的价款、金额、面积等项应当同时以大、小写表示，大小写数额应当一致，不一致的，以大写为准。</w:t>
      </w:r>
    </w:p>
    <w:p>
      <w:pPr>
        <w:pStyle w:val="12"/>
        <w:spacing w:before="0" w:beforeAutospacing="0" w:after="0" w:afterAutospacing="0" w:line="580" w:lineRule="exact"/>
        <w:ind w:firstLine="645"/>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第四十二条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本合同未尽事宜，可由双方约定后作为合同附件。</w:t>
      </w:r>
    </w:p>
    <w:p>
      <w:pPr>
        <w:pStyle w:val="12"/>
        <w:spacing w:before="0" w:beforeAutospacing="0" w:after="0" w:afterAutospacing="0" w:line="580" w:lineRule="exact"/>
        <w:ind w:left="159" w:leftChars="76" w:firstLine="485" w:firstLineChars="151"/>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方正仿宋_GBK"/>
          <w:b/>
          <w:bCs/>
          <w:kern w:val="2"/>
          <w:sz w:val="32"/>
          <w:szCs w:val="32"/>
          <w:highlight w:val="none"/>
        </w:rPr>
        <w:t>第四十三条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本合同一式</w:t>
      </w:r>
      <w:r>
        <w:rPr>
          <w:rFonts w:hint="eastAsia" w:ascii="宋体" w:hAnsi="宋体" w:eastAsia="宋体" w:cs="宋体"/>
          <w:b/>
          <w:bCs/>
          <w:kern w:val="2"/>
          <w:sz w:val="32"/>
          <w:szCs w:val="32"/>
          <w:highlight w:val="none"/>
          <w:u w:val="single"/>
        </w:rPr>
        <w:t>肆</w:t>
      </w:r>
      <w:r>
        <w:rPr>
          <w:rFonts w:hint="eastAsia" w:ascii="方正仿宋_GBK" w:hAnsi="方正仿宋_GBK" w:eastAsia="方正仿宋_GBK" w:cs="方正仿宋_GBK"/>
          <w:kern w:val="2"/>
          <w:sz w:val="32"/>
          <w:szCs w:val="32"/>
          <w:highlight w:val="none"/>
        </w:rPr>
        <w:t>份，出让人</w:t>
      </w:r>
      <w:r>
        <w:rPr>
          <w:rFonts w:hint="eastAsia" w:ascii="宋体" w:hAnsi="宋体" w:eastAsia="宋体" w:cs="宋体"/>
          <w:b/>
          <w:bCs/>
          <w:kern w:val="2"/>
          <w:sz w:val="32"/>
          <w:szCs w:val="32"/>
          <w:highlight w:val="none"/>
          <w:u w:val="single"/>
        </w:rPr>
        <w:t>贰</w:t>
      </w:r>
      <w:r>
        <w:rPr>
          <w:rFonts w:hint="eastAsia" w:ascii="方正仿宋_GBK" w:hAnsi="方正仿宋_GBK" w:eastAsia="方正仿宋_GBK" w:cs="方正仿宋_GBK"/>
          <w:kern w:val="2"/>
          <w:sz w:val="32"/>
          <w:szCs w:val="32"/>
          <w:highlight w:val="none"/>
        </w:rPr>
        <w:t>份，受让人</w:t>
      </w:r>
      <w:r>
        <w:rPr>
          <w:rFonts w:hint="eastAsia" w:ascii="宋体" w:hAnsi="宋体" w:eastAsia="宋体" w:cs="宋体"/>
          <w:b/>
          <w:bCs/>
          <w:kern w:val="2"/>
          <w:sz w:val="32"/>
          <w:szCs w:val="32"/>
          <w:highlight w:val="none"/>
          <w:u w:val="single"/>
        </w:rPr>
        <w:t>贰</w:t>
      </w:r>
      <w:r>
        <w:rPr>
          <w:rFonts w:hint="eastAsia" w:ascii="方正仿宋_GBK" w:hAnsi="方正仿宋_GBK" w:eastAsia="方正仿宋_GBK" w:cs="方正仿宋_GBK"/>
          <w:kern w:val="2"/>
          <w:sz w:val="32"/>
          <w:szCs w:val="32"/>
          <w:highlight w:val="none"/>
        </w:rPr>
        <w:t>份，具有同等法律效力。</w:t>
      </w:r>
    </w:p>
    <w:p>
      <w:pPr>
        <w:pStyle w:val="12"/>
        <w:spacing w:before="0" w:beforeAutospacing="0" w:after="0" w:afterAutospacing="0" w:line="600" w:lineRule="exact"/>
        <w:jc w:val="center"/>
        <w:rPr>
          <w:rFonts w:ascii="方正小标宋_GBK" w:hAnsi="方正黑体简体" w:eastAsia="方正小标宋_GBK" w:cs="方正黑体简体"/>
          <w:kern w:val="2"/>
          <w:sz w:val="44"/>
          <w:szCs w:val="44"/>
          <w:highlight w:val="none"/>
        </w:rPr>
      </w:pPr>
      <w:r>
        <w:rPr>
          <w:rFonts w:hint="eastAsia" w:ascii="方正小标宋_GBK" w:hAnsi="方正黑体简体" w:eastAsia="方正小标宋_GBK" w:cs="方正黑体简体"/>
          <w:kern w:val="2"/>
          <w:sz w:val="44"/>
          <w:szCs w:val="44"/>
          <w:highlight w:val="none"/>
        </w:rPr>
        <w:t xml:space="preserve"> </w:t>
      </w:r>
    </w:p>
    <w:p>
      <w:pPr>
        <w:pStyle w:val="12"/>
        <w:spacing w:before="0" w:beforeAutospacing="0" w:after="0" w:afterAutospacing="0" w:line="600" w:lineRule="exact"/>
        <w:jc w:val="center"/>
        <w:rPr>
          <w:rFonts w:ascii="方正小标宋_GBK" w:hAnsi="方正黑体简体" w:eastAsia="方正小标宋_GBK" w:cs="方正黑体简体"/>
          <w:kern w:val="2"/>
          <w:sz w:val="44"/>
          <w:szCs w:val="44"/>
          <w:highlight w:val="none"/>
        </w:rPr>
      </w:pPr>
      <w:r>
        <w:rPr>
          <w:rFonts w:hint="eastAsia" w:ascii="方正小标宋_GBK" w:hAnsi="方正黑体简体" w:eastAsia="方正小标宋_GBK" w:cs="方正黑体简体"/>
          <w:kern w:val="2"/>
          <w:sz w:val="44"/>
          <w:szCs w:val="44"/>
          <w:highlight w:val="none"/>
        </w:rPr>
        <w:t xml:space="preserve">补充条款 </w:t>
      </w:r>
    </w:p>
    <w:p>
      <w:pPr>
        <w:pStyle w:val="12"/>
        <w:spacing w:before="0" w:beforeAutospacing="0" w:after="0" w:afterAutospacing="0" w:line="600" w:lineRule="exact"/>
        <w:ind w:firstLine="640" w:firstLineChars="200"/>
        <w:jc w:val="both"/>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一、该地块按土地现状“净地”</w:t>
      </w:r>
      <w:r>
        <w:rPr>
          <w:rFonts w:hint="eastAsia" w:ascii="Times New Roman" w:hAnsi="Times New Roman" w:eastAsia="方正仿宋_GBK" w:cs="Times New Roman"/>
          <w:bCs/>
          <w:sz w:val="32"/>
          <w:szCs w:val="32"/>
          <w:highlight w:val="none"/>
          <w:lang w:eastAsia="zh-CN"/>
        </w:rPr>
        <w:t>拍卖</w:t>
      </w:r>
      <w:r>
        <w:rPr>
          <w:rFonts w:hint="eastAsia" w:ascii="Times New Roman" w:hAnsi="Times New Roman" w:eastAsia="方正仿宋_GBK" w:cs="Times New Roman"/>
          <w:bCs/>
          <w:sz w:val="32"/>
          <w:szCs w:val="32"/>
          <w:highlight w:val="none"/>
        </w:rPr>
        <w:t>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pStyle w:val="12"/>
        <w:spacing w:before="0" w:beforeAutospacing="0" w:after="0" w:afterAutospacing="0" w:line="600" w:lineRule="exact"/>
        <w:ind w:firstLine="640" w:firstLineChars="200"/>
        <w:jc w:val="both"/>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二、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pStyle w:val="12"/>
        <w:spacing w:before="0" w:beforeAutospacing="0" w:after="0" w:afterAutospacing="0" w:line="600" w:lineRule="exact"/>
        <w:ind w:firstLine="640" w:firstLineChars="200"/>
        <w:jc w:val="both"/>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三、该地块国有建设用地使用权出让价款只包含地表建设用地使用权出让价款，如涉及地下空间建设用地使用权，在确立地下空间使用权时，需按相关政策规定缴纳地下空间使用权价款。</w:t>
      </w:r>
    </w:p>
    <w:p>
      <w:pPr>
        <w:pStyle w:val="12"/>
        <w:spacing w:before="0" w:beforeAutospacing="0" w:after="0" w:afterAutospacing="0" w:line="600" w:lineRule="exact"/>
        <w:ind w:firstLine="640" w:firstLineChars="200"/>
        <w:jc w:val="both"/>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四、该地块受让人在开发建设时若对地块范围外的土壤或山体造成破坏的，须负责对破坏的土壤或山体进行治理和恢复。</w:t>
      </w:r>
    </w:p>
    <w:p>
      <w:pPr>
        <w:pStyle w:val="12"/>
        <w:spacing w:before="0" w:beforeAutospacing="0" w:after="0" w:afterAutospacing="0" w:line="600" w:lineRule="exact"/>
        <w:ind w:firstLine="640" w:firstLineChars="200"/>
        <w:jc w:val="both"/>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五、该地块受让人须自行出资开展地质灾害危险性评估工作，自行到发改、环保、水利、住建等部门办理立项（备案）、环评、水保、建设等相关具体手续。</w:t>
      </w:r>
    </w:p>
    <w:p>
      <w:pPr>
        <w:pStyle w:val="12"/>
        <w:spacing w:before="0" w:beforeAutospacing="0" w:after="0" w:afterAutospacing="0" w:line="600" w:lineRule="exact"/>
        <w:ind w:firstLine="640" w:firstLineChars="200"/>
        <w:jc w:val="both"/>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六、该地块出让涉及的出让契税等相关税费，由受让人另行缴纳并到税务机关办理纳税手续。</w:t>
      </w:r>
    </w:p>
    <w:p>
      <w:pPr>
        <w:pStyle w:val="12"/>
        <w:spacing w:before="0" w:beforeAutospacing="0" w:after="0" w:afterAutospacing="0" w:line="600" w:lineRule="exact"/>
        <w:ind w:firstLine="640" w:firstLineChars="200"/>
        <w:jc w:val="both"/>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七、国有建设用地使用权出让合同（示范文本）部分条款释义详见附件4。</w:t>
      </w:r>
    </w:p>
    <w:p>
      <w:pPr>
        <w:pStyle w:val="12"/>
        <w:spacing w:before="0" w:beforeAutospacing="0" w:after="0" w:afterAutospacing="0" w:line="600" w:lineRule="exact"/>
        <w:ind w:firstLine="640" w:firstLineChars="200"/>
        <w:jc w:val="both"/>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八、受让人须设立《建设项目用地信息公示牌》（详见附件5）方可申请交地。</w:t>
      </w:r>
    </w:p>
    <w:p>
      <w:pPr>
        <w:pStyle w:val="12"/>
        <w:spacing w:before="0" w:beforeAutospacing="0" w:after="0" w:afterAutospacing="0" w:line="600" w:lineRule="exact"/>
        <w:ind w:firstLine="640" w:firstLineChars="200"/>
        <w:jc w:val="both"/>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九、受让人应在开、竣工30日前向资阳市临空经济区管理委员会（由资阳市自然资源和规划局临空经济区分局负责受理）提交《建设项目动工申报书》（详见附件6）和《建设项目竣工申报书》（详见附件7）。</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Times New Roman" w:hAnsi="Times New Roman" w:eastAsia="方正仿宋_GBK" w:cs="Times New Roman"/>
          <w:bCs/>
          <w:sz w:val="32"/>
          <w:szCs w:val="32"/>
          <w:highlight w:val="none"/>
        </w:rPr>
        <w:t>十、合同价款缴费方式：缴费人可通过四川省电子税务局或到资阳市临空经济区政务服务中心税务窗口缴纳。</w:t>
      </w: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highlight w:val="none"/>
        </w:rPr>
      </w:pPr>
    </w:p>
    <w:p>
      <w:pPr>
        <w:pStyle w:val="12"/>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出让人（章）：</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受让人（章）：</w:t>
      </w:r>
    </w:p>
    <w:p>
      <w:pPr>
        <w:pStyle w:val="12"/>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580" w:lineRule="exact"/>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法定代表人（委托代理人）</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法定代表人</w:t>
      </w:r>
      <w:r>
        <w:rPr>
          <w:rFonts w:ascii="Times New Roman" w:hAnsi="Times New Roman" w:eastAsia="方正仿宋_GBK" w:cs="Times New Roman"/>
          <w:kern w:val="2"/>
          <w:sz w:val="32"/>
          <w:szCs w:val="32"/>
          <w:highlight w:val="none"/>
        </w:rPr>
        <w:t>(</w:t>
      </w:r>
      <w:r>
        <w:rPr>
          <w:rFonts w:hint="eastAsia" w:ascii="方正仿宋_GBK" w:hAnsi="方正仿宋_GBK" w:eastAsia="方正仿宋_GBK" w:cs="方正仿宋_GBK"/>
          <w:kern w:val="2"/>
          <w:sz w:val="32"/>
          <w:szCs w:val="32"/>
          <w:highlight w:val="none"/>
        </w:rPr>
        <w:t>委托代理人</w:t>
      </w:r>
      <w:r>
        <w:rPr>
          <w:rFonts w:ascii="Times New Roman" w:hAnsi="Times New Roman" w:eastAsia="方正仿宋_GBK" w:cs="Times New Roman"/>
          <w:kern w:val="2"/>
          <w:sz w:val="32"/>
          <w:szCs w:val="32"/>
          <w:highlight w:val="none"/>
        </w:rPr>
        <w:t>)</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580" w:lineRule="exact"/>
        <w:jc w:val="both"/>
        <w:rPr>
          <w:rFonts w:ascii="方正仿宋_GBK" w:hAnsi="方正仿宋_GBK" w:eastAsia="方正仿宋_GBK" w:cs="方正仿宋_GBK"/>
          <w:kern w:val="2"/>
          <w:sz w:val="32"/>
          <w:szCs w:val="32"/>
          <w:highlight w:val="none"/>
        </w:rPr>
      </w:pPr>
      <w:r>
        <w:rPr>
          <w:rFonts w:hint="eastAsia" w:ascii="方正仿宋_GBK" w:hAnsi="方正仿宋_GBK" w:eastAsia="方正仿宋_GBK" w:cs="方正仿宋_GBK"/>
          <w:kern w:val="2"/>
          <w:sz w:val="32"/>
          <w:szCs w:val="32"/>
          <w:highlight w:val="none"/>
        </w:rPr>
        <w:t>（签字）：</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（签字）：</w:t>
      </w:r>
    </w:p>
    <w:p>
      <w:pPr>
        <w:pStyle w:val="12"/>
        <w:spacing w:before="0" w:beforeAutospacing="0" w:after="0" w:afterAutospacing="0" w:line="580" w:lineRule="exact"/>
        <w:jc w:val="both"/>
        <w:rPr>
          <w:rFonts w:ascii="方正仿宋_GBK" w:hAnsi="方正仿宋_GBK" w:eastAsia="方正仿宋_GBK" w:cs="方正仿宋_GBK"/>
          <w:kern w:val="2"/>
          <w:sz w:val="32"/>
          <w:szCs w:val="32"/>
          <w:highlight w:val="none"/>
        </w:rPr>
      </w:pPr>
    </w:p>
    <w:p>
      <w:pPr>
        <w:pStyle w:val="12"/>
        <w:spacing w:before="0" w:beforeAutospacing="0" w:after="0" w:afterAutospacing="0" w:line="580" w:lineRule="exact"/>
        <w:ind w:firstLine="2880" w:firstLineChars="90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 xml:space="preserve">  </w:t>
      </w:r>
      <w:r>
        <w:rPr>
          <w:rFonts w:hint="eastAsia" w:ascii="Times New Roman" w:hAnsi="Times New Roman" w:eastAsia="方正仿宋_GBK" w:cs="Times New Roman"/>
          <w:kern w:val="2"/>
          <w:sz w:val="32"/>
          <w:szCs w:val="32"/>
          <w:highlight w:val="none"/>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年  月  日</w:t>
      </w:r>
    </w:p>
    <w:p>
      <w:pPr>
        <w:jc w:val="left"/>
        <w:rPr>
          <w:rFonts w:ascii="Times New Roman" w:hAnsi="Times New Roman" w:eastAsia="方正仿宋_GBK" w:cs="Times New Roman"/>
          <w:sz w:val="32"/>
          <w:szCs w:val="32"/>
          <w:highlight w:val="none"/>
        </w:rPr>
        <w:sectPr>
          <w:headerReference r:id="rId7" w:type="default"/>
          <w:footerReference r:id="rId8" w:type="default"/>
          <w:pgSz w:w="12242" w:h="15842"/>
          <w:pgMar w:top="2098" w:right="1474" w:bottom="1985" w:left="1588" w:header="851" w:footer="1247" w:gutter="0"/>
          <w:cols w:space="0" w:num="1"/>
          <w:docGrid w:linePitch="319" w:charSpace="0"/>
        </w:sectPr>
      </w:pPr>
    </w:p>
    <w:p>
      <w:pPr>
        <w:jc w:val="left"/>
        <w:rPr>
          <w:rFonts w:hint="default" w:ascii="Times New Roman" w:hAnsi="Times New Roman" w:eastAsia="方正黑体简体" w:cs="Times New Roman"/>
          <w:sz w:val="32"/>
          <w:szCs w:val="32"/>
          <w:highlight w:val="none"/>
        </w:rPr>
      </w:pPr>
      <w:r>
        <w:rPr>
          <w:rFonts w:hint="default" w:ascii="Times New Roman" w:hAnsi="Times New Roman" w:eastAsia="方正黑体简体" w:cs="Times New Roman"/>
          <w:sz w:val="32"/>
          <w:szCs w:val="32"/>
          <w:highlight w:val="none"/>
        </w:rPr>
        <w:t>附件1</w:t>
      </w:r>
    </w:p>
    <w:p>
      <w:pPr>
        <w:jc w:val="center"/>
        <w:rPr>
          <w:rFonts w:hint="default" w:ascii="Times New Roman" w:hAnsi="Times New Roman" w:eastAsia="方正仿宋_GBK" w:cs="Times New Roman"/>
          <w:color w:val="auto"/>
          <w:sz w:val="32"/>
          <w:szCs w:val="32"/>
          <w:highlight w:val="none"/>
        </w:rPr>
      </w:pPr>
    </w:p>
    <w:p>
      <w:pPr>
        <w:jc w:val="center"/>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出让宗地平面界址图</w:t>
      </w:r>
    </w:p>
    <w:p>
      <w:pPr>
        <w:jc w:val="center"/>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                                       </w:t>
      </w:r>
    </w:p>
    <w:p>
      <w:pPr>
        <w:jc w:val="center"/>
        <w:rPr>
          <w:rFonts w:hint="default" w:ascii="Times New Roman" w:hAnsi="Times New Roman" w:eastAsia="方正仿宋_GBK" w:cs="Times New Roman"/>
          <w:color w:val="auto"/>
          <w:sz w:val="32"/>
          <w:szCs w:val="32"/>
          <w:highlight w:val="none"/>
        </w:rPr>
      </w:pPr>
    </w:p>
    <w:p>
      <w:pPr>
        <w:jc w:val="center"/>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                                    </w:t>
      </w:r>
      <w:r>
        <w:rPr>
          <w:rFonts w:hint="default" w:ascii="Times New Roman" w:hAnsi="Times New Roman" w:eastAsia="方正仿宋_GBK" w:cs="Times New Roman"/>
          <w:b/>
          <w:bCs/>
          <w:color w:val="auto"/>
          <w:sz w:val="32"/>
          <w:szCs w:val="32"/>
          <w:highlight w:val="none"/>
        </w:rPr>
        <w:t>北</w:t>
      </w:r>
      <w:r>
        <w:rPr>
          <w:rFonts w:hint="default" w:ascii="Times New Roman" w:hAnsi="Times New Roman" w:eastAsia="方正仿宋_GBK" w:cs="Times New Roman"/>
          <w:color w:val="auto"/>
          <w:sz w:val="32"/>
          <w:szCs w:val="32"/>
          <w:highlight w:val="none"/>
        </w:rPr>
        <w:fldChar w:fldCharType="begin" w:fldLock="1"/>
      </w:r>
      <w:r>
        <w:rPr>
          <w:rFonts w:hint="default" w:ascii="Times New Roman" w:hAnsi="Times New Roman" w:eastAsia="方正仿宋_GBK" w:cs="Times New Roman"/>
          <w:color w:val="auto"/>
          <w:sz w:val="32"/>
          <w:szCs w:val="32"/>
          <w:highlight w:val="none"/>
        </w:rPr>
        <w:instrText xml:space="preserve">ref  SHAPE  \* MERGEFORMAT </w:instrText>
      </w:r>
      <w:r>
        <w:rPr>
          <w:rFonts w:hint="default" w:ascii="Times New Roman" w:hAnsi="Times New Roman" w:eastAsia="方正仿宋_GBK" w:cs="Times New Roman"/>
          <w:color w:val="auto"/>
          <w:sz w:val="32"/>
          <w:szCs w:val="32"/>
          <w:highlight w:val="none"/>
        </w:rPr>
        <w:fldChar w:fldCharType="separate"/>
      </w:r>
      <w:r>
        <w:rPr>
          <w:rFonts w:hint="default" w:ascii="Times New Roman" w:hAnsi="Times New Roman" w:eastAsia="方正仿宋_GBK" w:cs="Times New Roman"/>
          <w:color w:val="auto"/>
          <w:sz w:val="32"/>
          <w:szCs w:val="32"/>
          <w:highlight w:val="none"/>
        </w:rPr>
        <mc:AlternateContent>
          <mc:Choice Requires="wpg">
            <w:drawing>
              <wp:anchor distT="0" distB="0" distL="114300" distR="114300" simplePos="0" relativeHeight="251669504" behindDoc="0" locked="1" layoutInCell="1" allowOverlap="1">
                <wp:simplePos x="0" y="0"/>
                <wp:positionH relativeFrom="character">
                  <wp:posOffset>0</wp:posOffset>
                </wp:positionH>
                <wp:positionV relativeFrom="line">
                  <wp:posOffset>0</wp:posOffset>
                </wp:positionV>
                <wp:extent cx="5257800" cy="4953000"/>
                <wp:effectExtent l="0" t="0" r="0" b="0"/>
                <wp:wrapNone/>
                <wp:docPr id="13" name="组合 2"/>
                <wp:cNvGraphicFramePr>
                  <a:graphicFrameLocks xmlns:a="http://schemas.openxmlformats.org/drawingml/2006/main" noChangeAspect="true"/>
                </wp:cNvGraphicFramePr>
                <a:graphic xmlns:a="http://schemas.openxmlformats.org/drawingml/2006/main">
                  <a:graphicData uri="http://schemas.microsoft.com/office/word/2010/wordprocessingGroup">
                    <wpg:wgp>
                      <wpg:cNvGrpSpPr>
                        <a:grpSpLocks noRot="true" noChangeAspect="true"/>
                      </wpg:cNvGrpSpPr>
                      <wpg:grpSpPr>
                        <a:xfrm>
                          <a:off x="0" y="0"/>
                          <a:ext cx="5257800" cy="4953000"/>
                          <a:chOff x="1800" y="1830"/>
                          <a:chExt cx="8280" cy="7800"/>
                        </a:xfrm>
                        <a:effectLst/>
                      </wpg:grpSpPr>
                      <wps:wsp>
                        <wps:cNvPr id="39" name="矩形 39"/>
                        <wps:cNvSpPr>
                          <a:spLocks noChangeAspect="true"/>
                        </wps:cNvSpPr>
                        <wps:spPr>
                          <a:xfrm>
                            <a:off x="1800" y="1830"/>
                            <a:ext cx="8280" cy="7800"/>
                          </a:xfrm>
                          <a:prstGeom prst="rect">
                            <a:avLst/>
                          </a:prstGeom>
                          <a:noFill/>
                          <a:ln w="9525">
                            <a:noFill/>
                          </a:ln>
                          <a:effectLst/>
                        </wps:spPr>
                        <wps:bodyPr upright="true"/>
                      </wps:wsp>
                      <wps:wsp>
                        <wps:cNvPr id="40" name="直接连接符 40"/>
                        <wps:cNvCnPr/>
                        <wps:spPr>
                          <a:xfrm flipV="true">
                            <a:off x="8820" y="1830"/>
                            <a:ext cx="1" cy="780"/>
                          </a:xfrm>
                          <a:prstGeom prst="line">
                            <a:avLst/>
                          </a:prstGeom>
                          <a:ln w="9525" cap="flat" cmpd="sng">
                            <a:solidFill>
                              <a:srgbClr val="000000"/>
                            </a:solidFill>
                            <a:prstDash val="lgDash"/>
                            <a:headEnd type="none" w="med" len="med"/>
                            <a:tailEnd type="triangle" w="med" len="med"/>
                          </a:ln>
                          <a:effectLst/>
                        </wps:spPr>
                        <wps:bodyPr upright="true"/>
                      </wps:wsp>
                      <wps:wsp>
                        <wps:cNvPr id="41" name="文本框 41"/>
                        <wps:cNvSpPr txBox="true"/>
                        <wps:spPr>
                          <a:xfrm>
                            <a:off x="1980" y="4794"/>
                            <a:ext cx="900" cy="3593"/>
                          </a:xfrm>
                          <a:prstGeom prst="rect">
                            <a:avLst/>
                          </a:prstGeom>
                          <a:solidFill>
                            <a:srgbClr val="FFFFFF"/>
                          </a:solidFill>
                          <a:ln w="9525">
                            <a:noFill/>
                          </a:ln>
                          <a:effectLst/>
                        </wps:spPr>
                        <wps:txbx>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true"/>
                      </wps:wsp>
                      <wps:wsp>
                        <wps:cNvPr id="42" name="直接连接符 42"/>
                        <wps:cNvCnPr/>
                        <wps:spPr>
                          <a:xfrm>
                            <a:off x="1980" y="4714"/>
                            <a:ext cx="1" cy="2835"/>
                          </a:xfrm>
                          <a:prstGeom prst="line">
                            <a:avLst/>
                          </a:prstGeom>
                          <a:ln w="9525" cap="flat" cmpd="sng">
                            <a:solidFill>
                              <a:srgbClr val="000000"/>
                            </a:solidFill>
                            <a:prstDash val="lgDash"/>
                            <a:headEnd type="none" w="med" len="med"/>
                            <a:tailEnd type="none" w="med" len="med"/>
                          </a:ln>
                          <a:effectLst/>
                        </wps:spPr>
                        <wps:bodyPr upright="true"/>
                      </wps:wsp>
                    </wpg:wgp>
                  </a:graphicData>
                </a:graphic>
              </wp:anchor>
            </w:drawing>
          </mc:Choice>
          <mc:Fallback>
            <w:pict>
              <v:group id="组合 2" o:spid="_x0000_s1026" o:spt="203" style="position:absolute;left:0pt;margin-left:0pt;margin-top:0pt;height:390pt;width:414pt;mso-position-horizontal-relative:char;mso-position-vertical-relative:line;z-index:251669504;mso-width-relative:page;mso-height-relative:page;" coordorigin="1800,1830" coordsize="8280,7800" o:gfxdata="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WAAAAZHJzL1BLAQIUABQAAAAIAIdO4kAGs5uD1QAAAAUBAAAP&#10;AAAAAAAAAAEAIAAAADgAAABkcnMvZG93bnJldi54bWxQSwECFAAUAAAACACHTuJAnvfzD1sDAADG&#10;CgAADgAAAAAAAAABACAAAAA6AQAAZHJzL2Uyb0RvYy54bWxQSwUGAAAAAAYABgBZAQAABwcAAAAA&#10;">
                <o:lock v:ext="edit" rotation="t" aspectratio="t"/>
                <v:rect id="_x0000_s1026" o:spid="_x0000_s1026" o:spt="1" style="position:absolute;left:1800;top:1830;height:7800;width:828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fill on="f" focussize="0,0"/>
                  <v:stroke on="f"/>
                  <v:imagedata o:title=""/>
                  <o:lock v:ext="edit" aspectratio="t"/>
                </v:rect>
                <v:line id="_x0000_s1026" o:spid="_x0000_s1026" o:spt="20" style="position:absolute;left:8820;top:1830;flip:y;height:780;width:1;" filled="f" stroked="t" coordsize="21600,21600" o:gfxdata="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TPOLsAAADb&#10;AAAADwAAAAAAAAABACAAAAAiAAAAZHJzL2Rvd25yZXYueG1sUEsBAhQAFAAAAAgAh07iQDMvBZ47&#10;AAAAOQAAABAAAAAAAAAAAQAgAAAACgEAAGRycy9zaGFwZXhtbC54bWxQSwUGAAAAAAYABgBbAQAA&#10;tAMAAAAA&#10;">
                  <v:fill on="f" focussize="0,0"/>
                  <v:stroke color="#000000" joinstyle="round" dashstyle="longDash" endarrow="block"/>
                  <v:imagedata o:title=""/>
                  <o:lock v:ext="edit" aspectratio="f"/>
                </v:line>
                <v:shape id="_x0000_s1026" o:spid="_x0000_s1026" o:spt="202" type="#_x0000_t202" style="position:absolute;left:1980;top:4794;height:3593;width:900;" fillcolor="#FFFFFF" filled="t" stroked="f" coordsize="21600,21600" o:gfxdata="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btwvQAA&#10;ANsAAAAPAAAAAAAAAAEAIAAAACIAAABkcnMvZG93bnJldi54bWxQSwECFAAUAAAACACHTuJAMy8F&#10;njsAAAA5AAAAEAAAAAAAAAABACAAAAAMAQAAZHJzL3NoYXBleG1sLnhtbFBLBQYAAAAABgAGAFsB&#10;AAC2AwAAAAA=&#10;">
                  <v:fill on="t" focussize="0,0"/>
                  <v:stroke on="f"/>
                  <v:imagedata o:title=""/>
                  <o:lock v:ext="edit" aspectratio="f"/>
                  <v:textbox style="layout-flow:vertical-ideographic;">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_x0000_s1026" o:spid="_x0000_s1026" o:spt="20" style="position:absolute;left:1980;top:4714;height:2835;width:1;" filled="f" stroked="t" coordsize="21600,21600" o:gfxdata="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snHC8AAAA&#10;2wAAAA8AAAAAAAAAAQAgAAAAIgAAAGRycy9kb3ducmV2LnhtbFBLAQIUABQAAAAIAIdO4kAzLwWe&#10;OwAAADkAAAAQAAAAAAAAAAEAIAAAAAsBAABkcnMvc2hhcGV4bWwueG1sUEsFBgAAAAAGAAYAWwEA&#10;ALUDAAAAAA==&#10;">
                  <v:fill on="f" focussize="0,0"/>
                  <v:stroke color="#000000" joinstyle="round" dashstyle="longDash"/>
                  <v:imagedata o:title=""/>
                  <o:lock v:ext="edit" aspectratio="f"/>
                </v:line>
                <w10:anchorlock/>
              </v:group>
            </w:pict>
          </mc:Fallback>
        </mc:AlternateContent>
      </w:r>
      <w:r>
        <w:rPr>
          <w:rFonts w:hint="default" w:ascii="Times New Roman" w:hAnsi="Times New Roman" w:eastAsia="方正仿宋_GBK" w:cs="Times New Roman"/>
          <w:color w:val="auto"/>
          <w:sz w:val="32"/>
          <w:szCs w:val="32"/>
          <w:highlight w:val="none"/>
        </w:rPr>
        <w:drawing>
          <wp:inline distT="0" distB="0" distL="114300" distR="114300">
            <wp:extent cx="5257800" cy="4942840"/>
            <wp:effectExtent l="0" t="0" r="0" b="0"/>
            <wp:docPr id="48"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true"/>
                    </pic:cNvPicPr>
                  </pic:nvPicPr>
                  <pic:blipFill>
                    <a:blip r:embed="rId22"/>
                    <a:srcRect t="-99454" b="99454"/>
                    <a:stretch>
                      <a:fillRect/>
                    </a:stretch>
                  </pic:blipFill>
                  <pic:spPr>
                    <a:xfrm>
                      <a:off x="0" y="0"/>
                      <a:ext cx="5257800" cy="4942840"/>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highlight w:val="none"/>
        </w:rPr>
        <w:fldChar w:fldCharType="end"/>
      </w:r>
    </w:p>
    <w:p>
      <w:pPr>
        <w:jc w:val="center"/>
        <w:rPr>
          <w:rFonts w:hint="default" w:ascii="Times New Roman" w:hAnsi="Times New Roman" w:eastAsia="方正仿宋_GBK" w:cs="Times New Roman"/>
          <w:color w:val="auto"/>
          <w:sz w:val="32"/>
          <w:szCs w:val="32"/>
          <w:highlight w:val="none"/>
        </w:rPr>
      </w:pPr>
    </w:p>
    <w:p>
      <w:pPr>
        <w:jc w:val="center"/>
        <w:rPr>
          <w:rFonts w:hint="default" w:ascii="Times New Roman" w:hAnsi="Times New Roman" w:eastAsia="方正仿宋_GBK" w:cs="Times New Roman"/>
          <w:color w:val="auto"/>
          <w:sz w:val="32"/>
          <w:szCs w:val="32"/>
          <w:highlight w:val="none"/>
        </w:rPr>
      </w:pPr>
    </w:p>
    <w:p>
      <w:pPr>
        <w:pStyle w:val="18"/>
        <w:rPr>
          <w:rFonts w:hint="default"/>
          <w:highlight w:val="none"/>
        </w:rPr>
      </w:pPr>
    </w:p>
    <w:p>
      <w:pPr>
        <w:jc w:val="center"/>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比例尺：1：</w:t>
      </w:r>
      <w:r>
        <w:rPr>
          <w:rFonts w:hint="default" w:ascii="Times New Roman" w:hAnsi="Times New Roman" w:eastAsia="方正仿宋_GBK" w:cs="Times New Roman"/>
          <w:b/>
          <w:bCs/>
          <w:color w:val="auto"/>
          <w:sz w:val="32"/>
          <w:szCs w:val="32"/>
          <w:highlight w:val="none"/>
          <w:u w:val="single"/>
        </w:rPr>
        <w:t xml:space="preserve">               </w:t>
      </w:r>
    </w:p>
    <w:p>
      <w:pPr>
        <w:jc w:val="left"/>
        <w:rPr>
          <w:rFonts w:ascii="Times New Roman" w:hAnsi="Times New Roman" w:eastAsia="方正仿宋_GBK" w:cs="Times New Roman"/>
          <w:sz w:val="32"/>
          <w:szCs w:val="32"/>
          <w:highlight w:val="none"/>
        </w:rPr>
      </w:pPr>
    </w:p>
    <w:p>
      <w:pPr>
        <w:jc w:val="left"/>
        <w:rPr>
          <w:rFonts w:ascii="Times New Roman" w:hAnsi="Times New Roman" w:eastAsia="方正黑体_GBK" w:cs="Times New Roman"/>
          <w:sz w:val="32"/>
          <w:szCs w:val="32"/>
          <w:highlight w:val="none"/>
        </w:rPr>
      </w:pPr>
    </w:p>
    <w:p>
      <w:pPr>
        <w:jc w:val="left"/>
        <w:rPr>
          <w:rFonts w:ascii="Times New Roman" w:hAnsi="Times New Roman" w:eastAsia="方正黑体_GBK" w:cs="Times New Roman"/>
          <w:sz w:val="32"/>
          <w:szCs w:val="32"/>
          <w:highlight w:val="none"/>
        </w:rPr>
      </w:pPr>
    </w:p>
    <w:p>
      <w:pPr>
        <w:jc w:val="left"/>
        <w:rPr>
          <w:rFonts w:hint="default" w:ascii="Times New Roman" w:hAnsi="Times New Roman" w:eastAsia="方正黑体简体" w:cs="Times New Roman"/>
          <w:sz w:val="32"/>
          <w:szCs w:val="32"/>
          <w:highlight w:val="none"/>
        </w:rPr>
      </w:pPr>
      <w:r>
        <w:rPr>
          <w:rFonts w:hint="default" w:ascii="Times New Roman" w:hAnsi="Times New Roman" w:eastAsia="方正黑体简体" w:cs="Times New Roman"/>
          <w:sz w:val="32"/>
          <w:szCs w:val="32"/>
          <w:highlight w:val="none"/>
        </w:rPr>
        <mc:AlternateContent>
          <mc:Choice Requires="wps">
            <w:drawing>
              <wp:anchor distT="0" distB="0" distL="114300" distR="114300" simplePos="0" relativeHeight="251668480"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12" name="文本框 49"/>
                <wp:cNvGraphicFramePr/>
                <a:graphic xmlns:a="http://schemas.openxmlformats.org/drawingml/2006/main">
                  <a:graphicData uri="http://schemas.microsoft.com/office/word/2010/wordprocessingShape">
                    <wps:wsp>
                      <wps:cNvSpPr txBox="true"/>
                      <wps:spPr>
                        <a:xfrm>
                          <a:off x="0" y="0"/>
                          <a:ext cx="1828800" cy="495300"/>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wps:txbx>
                      <wps:bodyPr upright="true"/>
                    </wps:wsp>
                  </a:graphicData>
                </a:graphic>
              </wp:anchor>
            </w:drawing>
          </mc:Choice>
          <mc:Fallback>
            <w:pict>
              <v:shape id="文本框 49" o:spid="_x0000_s1026" o:spt="202" type="#_x0000_t202" style="position:absolute;left:0pt;margin-left:324pt;margin-top:478.85pt;height:39pt;width:144pt;z-index:251668480;mso-width-relative:page;mso-height-relative:page;" fillcolor="#FFFFFF" filled="t" stroked="f" coordsize="21600,21600" o:gfxdata="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BDsBzdoAAAAMAQAADwAAAAAAAAABACAAAAA4AAAA&#10;ZHJzL2Rvd25yZXYueG1sUEsBAhQAFAAAAAgAh07iQKXZjfu2AQAASAMAAA4AAAAAAAAAAQAgAAAA&#10;PwEAAGRycy9lMm9Eb2MueG1sUEsFBgAAAAAGAAYAWQEAAGcFAAAAAA==&#10;">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mc:Fallback>
        </mc:AlternateContent>
      </w:r>
      <w:r>
        <w:rPr>
          <w:rFonts w:hint="default" w:ascii="Times New Roman" w:hAnsi="Times New Roman" w:eastAsia="方正黑体简体" w:cs="Times New Roman"/>
          <w:sz w:val="32"/>
          <w:szCs w:val="32"/>
          <w:highlight w:val="none"/>
        </w:rPr>
        <mc:AlternateContent>
          <mc:Choice Requires="wps">
            <w:drawing>
              <wp:anchor distT="0" distB="0" distL="114300" distR="114300" simplePos="0" relativeHeight="251667456" behindDoc="0" locked="1" layoutInCell="1" allowOverlap="1">
                <wp:simplePos x="0" y="0"/>
                <wp:positionH relativeFrom="column">
                  <wp:posOffset>-219075</wp:posOffset>
                </wp:positionH>
                <wp:positionV relativeFrom="paragraph">
                  <wp:posOffset>3368040</wp:posOffset>
                </wp:positionV>
                <wp:extent cx="571500" cy="2281555"/>
                <wp:effectExtent l="0" t="0" r="0" b="4445"/>
                <wp:wrapNone/>
                <wp:docPr id="11" name="文本框 50"/>
                <wp:cNvGraphicFramePr/>
                <a:graphic xmlns:a="http://schemas.openxmlformats.org/drawingml/2006/main">
                  <a:graphicData uri="http://schemas.microsoft.com/office/word/2010/wordprocessingShape">
                    <wps:wsp>
                      <wps:cNvSpPr txBox="true"/>
                      <wps:spPr>
                        <a:xfrm>
                          <a:off x="0" y="0"/>
                          <a:ext cx="571500" cy="2281555"/>
                        </a:xfrm>
                        <a:prstGeom prst="rect">
                          <a:avLst/>
                        </a:prstGeom>
                        <a:solidFill>
                          <a:srgbClr val="FFFFFF"/>
                        </a:solidFill>
                        <a:ln w="9525">
                          <a:noFill/>
                        </a:ln>
                        <a:effectLst/>
                      </wps:spPr>
                      <wps:txbx>
                        <w:txbxContent>
                          <w:p>
                            <w:pPr>
                              <w:ind w:firstLine="147"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true"/>
                    </wps:wsp>
                  </a:graphicData>
                </a:graphic>
              </wp:anchor>
            </w:drawing>
          </mc:Choice>
          <mc:Fallback>
            <w:pict>
              <v:shape id="文本框 50" o:spid="_x0000_s1026" o:spt="202" type="#_x0000_t202" style="position:absolute;left:0pt;margin-left:-17.25pt;margin-top:265.2pt;height:179.65pt;width:45pt;z-index:251667456;mso-width-relative:page;mso-height-relative:page;" fillcolor="#FFFFFF" filled="t" stroked="f" coordsize="21600,21600" o:gfxdata="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avLJOdoAAAAKAQAADwAAAAAAAAABACAA&#10;AAA4AAAAZHJzL2Rvd25yZXYueG1sUEsBAhQAFAAAAAgAh07iQN5zuqS8AQAAVgMAAA4AAAAAAAAA&#10;AQAgAAAAPwEAAGRycy9lMm9Eb2MueG1sUEsFBgAAAAAGAAYAWQEAAG0FAAAAAA==&#10;">
                <v:fill on="t" focussize="0,0"/>
                <v:stroke on="f"/>
                <v:imagedata o:title=""/>
                <o:lock v:ext="edit" aspectratio="f"/>
                <v:textbox style="layout-flow:vertical-ideographic;">
                  <w:txbxContent>
                    <w:p>
                      <w:pPr>
                        <w:ind w:firstLine="147"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mc:Fallback>
        </mc:AlternateContent>
      </w:r>
      <w:r>
        <w:rPr>
          <w:rFonts w:hint="default" w:ascii="Times New Roman" w:hAnsi="Times New Roman" w:eastAsia="方正黑体简体" w:cs="Times New Roman"/>
          <w:sz w:val="32"/>
          <w:szCs w:val="32"/>
          <w:highlight w:val="none"/>
        </w:rPr>
        <mc:AlternateContent>
          <mc:Choice Requires="wps">
            <w:drawing>
              <wp:anchor distT="0" distB="0" distL="114300" distR="114300" simplePos="0" relativeHeight="251666432" behindDoc="0" locked="1" layoutInCell="1" allowOverlap="1">
                <wp:simplePos x="0" y="0"/>
                <wp:positionH relativeFrom="column">
                  <wp:posOffset>-239395</wp:posOffset>
                </wp:positionH>
                <wp:positionV relativeFrom="paragraph">
                  <wp:posOffset>3518535</wp:posOffset>
                </wp:positionV>
                <wp:extent cx="635" cy="1800225"/>
                <wp:effectExtent l="4445" t="0" r="13970" b="9525"/>
                <wp:wrapNone/>
                <wp:docPr id="51" name="直接连接符 51"/>
                <wp:cNvGraphicFramePr/>
                <a:graphic xmlns:a="http://schemas.openxmlformats.org/drawingml/2006/main">
                  <a:graphicData uri="http://schemas.microsoft.com/office/word/2010/wordprocessingShape">
                    <wps:wsp>
                      <wps:cNvCnPr/>
                      <wps:spPr>
                        <a:xfrm>
                          <a:off x="0" y="0"/>
                          <a:ext cx="635" cy="1800225"/>
                        </a:xfrm>
                        <a:prstGeom prst="line">
                          <a:avLst/>
                        </a:prstGeom>
                        <a:ln w="9525" cap="flat" cmpd="sng">
                          <a:solidFill>
                            <a:srgbClr val="000000"/>
                          </a:solidFill>
                          <a:prstDash val="lgDash"/>
                          <a:headEnd type="none" w="med" len="med"/>
                          <a:tailEnd type="none" w="med" len="med"/>
                        </a:ln>
                        <a:effectLst/>
                      </wps:spPr>
                      <wps:bodyPr/>
                    </wps:wsp>
                  </a:graphicData>
                </a:graphic>
              </wp:anchor>
            </w:drawing>
          </mc:Choice>
          <mc:Fallback>
            <w:pict>
              <v:line id="_x0000_s1026" o:spid="_x0000_s1026" o:spt="20" style="position:absolute;left:0pt;margin-left:-18.85pt;margin-top:277.05pt;height:141.75pt;width:0.05pt;z-index:251666432;mso-width-relative:page;mso-height-relative:page;" filled="f" stroked="t" coordsize="21600,21600" o:gfxdata="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0msPT9gAAAALAQAADwAAAAAAAAABACAAAAA4AAAAZHJzL2Rvd25yZXYueG1sUEsBAhQAFAAA&#10;AAgAh07iQFbZOtbZAQAAnQMAAA4AAAAAAAAAAQAgAAAAPQEAAGRycy9lMm9Eb2MueG1sUEsFBgAA&#10;AAAGAAYAWQEAAIgFAAAAAA==&#10;">
                <v:fill on="f" focussize="0,0"/>
                <v:stroke color="#000000" joinstyle="round" dashstyle="longDash"/>
                <v:imagedata o:title=""/>
                <o:lock v:ext="edit" aspectratio="f"/>
                <w10:anchorlock/>
              </v:line>
            </w:pict>
          </mc:Fallback>
        </mc:AlternateContent>
      </w:r>
      <w:r>
        <w:rPr>
          <w:rFonts w:hint="default" w:ascii="Times New Roman" w:hAnsi="Times New Roman" w:eastAsia="方正黑体简体" w:cs="Times New Roman"/>
          <w:sz w:val="32"/>
          <w:szCs w:val="32"/>
          <w:highlight w:val="none"/>
        </w:rPr>
        <w:t>附件2</w:t>
      </w:r>
    </w:p>
    <w:p>
      <w:pPr>
        <w:jc w:val="center"/>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出让宗地竖向界限</w:t>
      </w:r>
      <w:r>
        <w:rPr>
          <w:rFonts w:hint="default" w:ascii="Times New Roman" w:hAnsi="Times New Roman" w:eastAsia="方正仿宋_GBK" w:cs="Times New Roman"/>
          <w:color w:val="auto"/>
          <w:sz w:val="32"/>
          <w:szCs w:val="32"/>
          <w:highlight w:val="none"/>
        </w:rPr>
        <w:fldChar w:fldCharType="begin" w:fldLock="1"/>
      </w:r>
      <w:r>
        <w:rPr>
          <w:rFonts w:hint="default" w:ascii="Times New Roman" w:hAnsi="Times New Roman" w:eastAsia="方正仿宋_GBK" w:cs="Times New Roman"/>
          <w:color w:val="auto"/>
          <w:sz w:val="32"/>
          <w:szCs w:val="32"/>
          <w:highlight w:val="none"/>
        </w:rPr>
        <w:instrText xml:space="preserve">ref  SHAPE  \* MERGEFORMAT </w:instrText>
      </w:r>
      <w:r>
        <w:rPr>
          <w:rFonts w:hint="default" w:ascii="Times New Roman" w:hAnsi="Times New Roman" w:eastAsia="方正仿宋_GBK" w:cs="Times New Roman"/>
          <w:color w:val="auto"/>
          <w:sz w:val="32"/>
          <w:szCs w:val="32"/>
          <w:highlight w:val="none"/>
        </w:rPr>
        <w:fldChar w:fldCharType="separate"/>
      </w:r>
      <w:r>
        <w:rPr>
          <w:rFonts w:hint="default" w:ascii="Times New Roman" w:hAnsi="Times New Roman" w:eastAsia="方正仿宋_GBK" w:cs="Times New Roman"/>
          <w:color w:val="auto"/>
          <w:sz w:val="32"/>
          <w:szCs w:val="32"/>
          <w:highlight w:val="none"/>
        </w:rPr>
        <mc:AlternateContent>
          <mc:Choice Requires="wpg">
            <w:drawing>
              <wp:anchor distT="0" distB="0" distL="114300" distR="114300" simplePos="0" relativeHeight="251670528" behindDoc="0" locked="1" layoutInCell="1" allowOverlap="1">
                <wp:simplePos x="0" y="0"/>
                <wp:positionH relativeFrom="character">
                  <wp:posOffset>0</wp:posOffset>
                </wp:positionH>
                <wp:positionV relativeFrom="line">
                  <wp:posOffset>0</wp:posOffset>
                </wp:positionV>
                <wp:extent cx="5715000" cy="6141720"/>
                <wp:effectExtent l="0" t="0" r="0" b="0"/>
                <wp:wrapNone/>
                <wp:docPr id="14" name="组合 3"/>
                <wp:cNvGraphicFramePr>
                  <a:graphicFrameLocks xmlns:a="http://schemas.openxmlformats.org/drawingml/2006/main" noChangeAspect="true"/>
                </wp:cNvGraphicFramePr>
                <a:graphic xmlns:a="http://schemas.openxmlformats.org/drawingml/2006/main">
                  <a:graphicData uri="http://schemas.microsoft.com/office/word/2010/wordprocessingGroup">
                    <wpg:wgp>
                      <wpg:cNvGrpSpPr>
                        <a:grpSpLocks noRot="true" noChangeAspect="true"/>
                      </wpg:cNvGrpSpPr>
                      <wpg:grpSpPr>
                        <a:xfrm>
                          <a:off x="0" y="0"/>
                          <a:ext cx="5715000" cy="6141720"/>
                          <a:chOff x="1800" y="2142"/>
                          <a:chExt cx="9000" cy="9672"/>
                        </a:xfrm>
                        <a:effectLst/>
                      </wpg:grpSpPr>
                      <wps:wsp>
                        <wps:cNvPr id="15" name="矩形 5"/>
                        <wps:cNvSpPr>
                          <a:spLocks noChangeAspect="true"/>
                        </wps:cNvSpPr>
                        <wps:spPr>
                          <a:xfrm>
                            <a:off x="1800" y="2142"/>
                            <a:ext cx="9000" cy="9672"/>
                          </a:xfrm>
                          <a:prstGeom prst="rect">
                            <a:avLst/>
                          </a:prstGeom>
                          <a:noFill/>
                          <a:ln w="9525">
                            <a:noFill/>
                          </a:ln>
                          <a:effectLst/>
                        </wps:spPr>
                        <wps:bodyPr upright="true"/>
                      </wps:wsp>
                      <wps:wsp>
                        <wps:cNvPr id="16" name="直接连接符 6"/>
                        <wps:cNvCnPr/>
                        <wps:spPr>
                          <a:xfrm>
                            <a:off x="2700" y="3078"/>
                            <a:ext cx="5940" cy="1"/>
                          </a:xfrm>
                          <a:prstGeom prst="line">
                            <a:avLst/>
                          </a:prstGeom>
                          <a:ln w="12700" cap="flat" cmpd="sng">
                            <a:solidFill>
                              <a:srgbClr val="000000"/>
                            </a:solidFill>
                            <a:prstDash val="solid"/>
                            <a:headEnd type="none" w="med" len="med"/>
                            <a:tailEnd type="none" w="med" len="med"/>
                          </a:ln>
                          <a:effectLst/>
                        </wps:spPr>
                        <wps:bodyPr upright="true"/>
                      </wps:wsp>
                      <wps:wsp>
                        <wps:cNvPr id="17" name="直接连接符 7"/>
                        <wps:cNvCnPr/>
                        <wps:spPr>
                          <a:xfrm>
                            <a:off x="2685" y="3078"/>
                            <a:ext cx="15" cy="8424"/>
                          </a:xfrm>
                          <a:prstGeom prst="line">
                            <a:avLst/>
                          </a:prstGeom>
                          <a:ln w="12700" cap="flat" cmpd="sng">
                            <a:solidFill>
                              <a:srgbClr val="000000"/>
                            </a:solidFill>
                            <a:prstDash val="solid"/>
                            <a:headEnd type="none" w="med" len="med"/>
                            <a:tailEnd type="none" w="med" len="med"/>
                          </a:ln>
                          <a:effectLst/>
                        </wps:spPr>
                        <wps:bodyPr upright="true"/>
                      </wps:wsp>
                      <wps:wsp>
                        <wps:cNvPr id="18" name="直接连接符 8"/>
                        <wps:cNvCnPr/>
                        <wps:spPr>
                          <a:xfrm>
                            <a:off x="2700" y="7134"/>
                            <a:ext cx="6120" cy="0"/>
                          </a:xfrm>
                          <a:prstGeom prst="line">
                            <a:avLst/>
                          </a:prstGeom>
                          <a:ln w="12700" cap="flat" cmpd="sng">
                            <a:solidFill>
                              <a:srgbClr val="000000"/>
                            </a:solidFill>
                            <a:prstDash val="solid"/>
                            <a:headEnd type="none" w="med" len="med"/>
                            <a:tailEnd type="none" w="med" len="med"/>
                          </a:ln>
                          <a:effectLst/>
                        </wps:spPr>
                        <wps:bodyPr upright="true"/>
                      </wps:wsp>
                      <wps:wsp>
                        <wps:cNvPr id="19" name="直接连接符 9"/>
                        <wps:cNvCnPr/>
                        <wps:spPr>
                          <a:xfrm>
                            <a:off x="2700" y="11502"/>
                            <a:ext cx="6480" cy="0"/>
                          </a:xfrm>
                          <a:prstGeom prst="line">
                            <a:avLst/>
                          </a:prstGeom>
                          <a:ln w="12700" cap="flat" cmpd="sng">
                            <a:solidFill>
                              <a:srgbClr val="000000"/>
                            </a:solidFill>
                            <a:prstDash val="solid"/>
                            <a:headEnd type="none" w="med" len="med"/>
                            <a:tailEnd type="none" w="med" len="med"/>
                          </a:ln>
                          <a:effectLst/>
                        </wps:spPr>
                        <wps:bodyPr upright="true"/>
                      </wps:wsp>
                      <wps:wsp>
                        <wps:cNvPr id="20" name="直接连接符 10"/>
                        <wps:cNvCnPr/>
                        <wps:spPr>
                          <a:xfrm>
                            <a:off x="6300" y="3075"/>
                            <a:ext cx="1" cy="4056"/>
                          </a:xfrm>
                          <a:prstGeom prst="line">
                            <a:avLst/>
                          </a:prstGeom>
                          <a:ln w="9525" cap="flat" cmpd="sng">
                            <a:solidFill>
                              <a:srgbClr val="000000"/>
                            </a:solidFill>
                            <a:prstDash val="solid"/>
                            <a:headEnd type="triangle" w="med" len="med"/>
                            <a:tailEnd type="triangle" w="med" len="med"/>
                          </a:ln>
                          <a:effectLst/>
                        </wps:spPr>
                        <wps:bodyPr upright="true"/>
                      </wps:wsp>
                      <wps:wsp>
                        <wps:cNvPr id="21" name="直接连接符 11"/>
                        <wps:cNvCnPr/>
                        <wps:spPr>
                          <a:xfrm>
                            <a:off x="6300" y="7134"/>
                            <a:ext cx="0" cy="4368"/>
                          </a:xfrm>
                          <a:prstGeom prst="line">
                            <a:avLst/>
                          </a:prstGeom>
                          <a:ln w="9525" cap="flat" cmpd="sng">
                            <a:solidFill>
                              <a:srgbClr val="000000"/>
                            </a:solidFill>
                            <a:prstDash val="solid"/>
                            <a:headEnd type="triangle" w="med" len="med"/>
                            <a:tailEnd type="triangle" w="med" len="med"/>
                          </a:ln>
                          <a:effectLst/>
                        </wps:spPr>
                        <wps:bodyPr upright="true"/>
                      </wps:wsp>
                      <wps:wsp>
                        <wps:cNvPr id="22" name="文本框 12"/>
                        <wps:cNvSpPr txBox="true"/>
                        <wps:spPr>
                          <a:xfrm>
                            <a:off x="7920" y="2687"/>
                            <a:ext cx="2880" cy="780"/>
                          </a:xfrm>
                          <a:prstGeom prst="rect">
                            <a:avLst/>
                          </a:prstGeom>
                          <a:solidFill>
                            <a:srgbClr val="FFFFFF"/>
                          </a:solidFill>
                          <a:ln w="9525">
                            <a:noFill/>
                          </a:ln>
                          <a:effectLst/>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wps:txbx>
                        <wps:bodyPr upright="true"/>
                      </wps:wsp>
                      <wps:wsp>
                        <wps:cNvPr id="23" name="文本框 13"/>
                        <wps:cNvSpPr txBox="true"/>
                        <wps:spPr>
                          <a:xfrm>
                            <a:off x="7920" y="6726"/>
                            <a:ext cx="2880" cy="780"/>
                          </a:xfrm>
                          <a:prstGeom prst="rect">
                            <a:avLst/>
                          </a:prstGeom>
                          <a:solidFill>
                            <a:srgbClr val="FFFFFF"/>
                          </a:solidFill>
                          <a:ln w="9525">
                            <a:noFill/>
                          </a:ln>
                          <a:effectLst/>
                        </wps:spPr>
                        <wps:txb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wps:txbx>
                        <wps:bodyPr upright="true"/>
                      </wps:wsp>
                      <wps:wsp>
                        <wps:cNvPr id="24" name="直接连接符 14"/>
                        <wps:cNvCnPr/>
                        <wps:spPr>
                          <a:xfrm flipV="true">
                            <a:off x="2880" y="7134"/>
                            <a:ext cx="180" cy="156"/>
                          </a:xfrm>
                          <a:prstGeom prst="line">
                            <a:avLst/>
                          </a:prstGeom>
                          <a:ln w="9525" cap="flat" cmpd="sng">
                            <a:solidFill>
                              <a:srgbClr val="000000"/>
                            </a:solidFill>
                            <a:prstDash val="solid"/>
                            <a:headEnd type="none" w="med" len="med"/>
                            <a:tailEnd type="none" w="med" len="med"/>
                          </a:ln>
                          <a:effectLst/>
                        </wps:spPr>
                        <wps:bodyPr upright="true"/>
                      </wps:wsp>
                      <wps:wsp>
                        <wps:cNvPr id="25" name="直接连接符 15"/>
                        <wps:cNvCnPr/>
                        <wps:spPr>
                          <a:xfrm flipV="true">
                            <a:off x="3120" y="7134"/>
                            <a:ext cx="180" cy="156"/>
                          </a:xfrm>
                          <a:prstGeom prst="line">
                            <a:avLst/>
                          </a:prstGeom>
                          <a:ln w="9525" cap="flat" cmpd="sng">
                            <a:solidFill>
                              <a:srgbClr val="000000"/>
                            </a:solidFill>
                            <a:prstDash val="solid"/>
                            <a:headEnd type="none" w="med" len="med"/>
                            <a:tailEnd type="none" w="med" len="med"/>
                          </a:ln>
                          <a:effectLst/>
                        </wps:spPr>
                        <wps:bodyPr upright="true"/>
                      </wps:wsp>
                      <wps:wsp>
                        <wps:cNvPr id="26" name="直接连接符 16"/>
                        <wps:cNvCnPr/>
                        <wps:spPr>
                          <a:xfrm flipV="true">
                            <a:off x="3360" y="7134"/>
                            <a:ext cx="180" cy="156"/>
                          </a:xfrm>
                          <a:prstGeom prst="line">
                            <a:avLst/>
                          </a:prstGeom>
                          <a:ln w="9525" cap="flat" cmpd="sng">
                            <a:solidFill>
                              <a:srgbClr val="000000"/>
                            </a:solidFill>
                            <a:prstDash val="solid"/>
                            <a:headEnd type="none" w="med" len="med"/>
                            <a:tailEnd type="none" w="med" len="med"/>
                          </a:ln>
                          <a:effectLst/>
                        </wps:spPr>
                        <wps:bodyPr upright="true"/>
                      </wps:wsp>
                      <wps:wsp>
                        <wps:cNvPr id="27" name="直接连接符 17"/>
                        <wps:cNvCnPr/>
                        <wps:spPr>
                          <a:xfrm flipV="true">
                            <a:off x="3600" y="7134"/>
                            <a:ext cx="180" cy="156"/>
                          </a:xfrm>
                          <a:prstGeom prst="line">
                            <a:avLst/>
                          </a:prstGeom>
                          <a:ln w="9525" cap="flat" cmpd="sng">
                            <a:solidFill>
                              <a:srgbClr val="000000"/>
                            </a:solidFill>
                            <a:prstDash val="solid"/>
                            <a:headEnd type="none" w="med" len="med"/>
                            <a:tailEnd type="none" w="med" len="med"/>
                          </a:ln>
                          <a:effectLst/>
                        </wps:spPr>
                        <wps:bodyPr upright="true"/>
                      </wps:wsp>
                      <wps:wsp>
                        <wps:cNvPr id="28" name="直接连接符 18"/>
                        <wps:cNvCnPr/>
                        <wps:spPr>
                          <a:xfrm flipV="true">
                            <a:off x="3840" y="7134"/>
                            <a:ext cx="180" cy="156"/>
                          </a:xfrm>
                          <a:prstGeom prst="line">
                            <a:avLst/>
                          </a:prstGeom>
                          <a:ln w="9525" cap="flat" cmpd="sng">
                            <a:solidFill>
                              <a:srgbClr val="000000"/>
                            </a:solidFill>
                            <a:prstDash val="solid"/>
                            <a:headEnd type="none" w="med" len="med"/>
                            <a:tailEnd type="none" w="med" len="med"/>
                          </a:ln>
                          <a:effectLst/>
                        </wps:spPr>
                        <wps:bodyPr upright="true"/>
                      </wps:wsp>
                      <wps:wsp>
                        <wps:cNvPr id="29" name="直接连接符 19"/>
                        <wps:cNvCnPr/>
                        <wps:spPr>
                          <a:xfrm flipV="true">
                            <a:off x="4080" y="7134"/>
                            <a:ext cx="180" cy="156"/>
                          </a:xfrm>
                          <a:prstGeom prst="line">
                            <a:avLst/>
                          </a:prstGeom>
                          <a:ln w="9525" cap="flat" cmpd="sng">
                            <a:solidFill>
                              <a:srgbClr val="000000"/>
                            </a:solidFill>
                            <a:prstDash val="solid"/>
                            <a:headEnd type="none" w="med" len="med"/>
                            <a:tailEnd type="none" w="med" len="med"/>
                          </a:ln>
                          <a:effectLst/>
                        </wps:spPr>
                        <wps:bodyPr upright="true"/>
                      </wps:wsp>
                      <wps:wsp>
                        <wps:cNvPr id="30" name="直接连接符 20"/>
                        <wps:cNvCnPr/>
                        <wps:spPr>
                          <a:xfrm flipV="true">
                            <a:off x="4320" y="7134"/>
                            <a:ext cx="180" cy="156"/>
                          </a:xfrm>
                          <a:prstGeom prst="line">
                            <a:avLst/>
                          </a:prstGeom>
                          <a:ln w="9525" cap="flat" cmpd="sng">
                            <a:solidFill>
                              <a:srgbClr val="000000"/>
                            </a:solidFill>
                            <a:prstDash val="solid"/>
                            <a:headEnd type="none" w="med" len="med"/>
                            <a:tailEnd type="none" w="med" len="med"/>
                          </a:ln>
                          <a:effectLst/>
                        </wps:spPr>
                        <wps:bodyPr upright="true"/>
                      </wps:wsp>
                      <wps:wsp>
                        <wps:cNvPr id="31" name="直接连接符 21"/>
                        <wps:cNvCnPr/>
                        <wps:spPr>
                          <a:xfrm flipV="true">
                            <a:off x="4560" y="7134"/>
                            <a:ext cx="180" cy="156"/>
                          </a:xfrm>
                          <a:prstGeom prst="line">
                            <a:avLst/>
                          </a:prstGeom>
                          <a:ln w="9525" cap="flat" cmpd="sng">
                            <a:solidFill>
                              <a:srgbClr val="000000"/>
                            </a:solidFill>
                            <a:prstDash val="solid"/>
                            <a:headEnd type="none" w="med" len="med"/>
                            <a:tailEnd type="none" w="med" len="med"/>
                          </a:ln>
                          <a:effectLst/>
                        </wps:spPr>
                        <wps:bodyPr upright="true"/>
                      </wps:wsp>
                      <wps:wsp>
                        <wps:cNvPr id="32" name="直接连接符 22"/>
                        <wps:cNvCnPr/>
                        <wps:spPr>
                          <a:xfrm flipV="true">
                            <a:off x="4780" y="7134"/>
                            <a:ext cx="180" cy="156"/>
                          </a:xfrm>
                          <a:prstGeom prst="line">
                            <a:avLst/>
                          </a:prstGeom>
                          <a:ln w="9525" cap="flat" cmpd="sng">
                            <a:solidFill>
                              <a:srgbClr val="000000"/>
                            </a:solidFill>
                            <a:prstDash val="solid"/>
                            <a:headEnd type="none" w="med" len="med"/>
                            <a:tailEnd type="none" w="med" len="med"/>
                          </a:ln>
                          <a:effectLst/>
                        </wps:spPr>
                        <wps:bodyPr upright="true"/>
                      </wps:wsp>
                      <wps:wsp>
                        <wps:cNvPr id="33" name="直接连接符 23"/>
                        <wps:cNvCnPr/>
                        <wps:spPr>
                          <a:xfrm flipV="true">
                            <a:off x="5020" y="7134"/>
                            <a:ext cx="180" cy="156"/>
                          </a:xfrm>
                          <a:prstGeom prst="line">
                            <a:avLst/>
                          </a:prstGeom>
                          <a:ln w="9525" cap="flat" cmpd="sng">
                            <a:solidFill>
                              <a:srgbClr val="000000"/>
                            </a:solidFill>
                            <a:prstDash val="solid"/>
                            <a:headEnd type="none" w="med" len="med"/>
                            <a:tailEnd type="none" w="med" len="med"/>
                          </a:ln>
                          <a:effectLst/>
                        </wps:spPr>
                        <wps:bodyPr upright="true"/>
                      </wps:wsp>
                      <wps:wsp>
                        <wps:cNvPr id="34" name="直接连接符 24"/>
                        <wps:cNvCnPr/>
                        <wps:spPr>
                          <a:xfrm flipV="true">
                            <a:off x="5260" y="7134"/>
                            <a:ext cx="180" cy="156"/>
                          </a:xfrm>
                          <a:prstGeom prst="line">
                            <a:avLst/>
                          </a:prstGeom>
                          <a:ln w="9525" cap="flat" cmpd="sng">
                            <a:solidFill>
                              <a:srgbClr val="000000"/>
                            </a:solidFill>
                            <a:prstDash val="solid"/>
                            <a:headEnd type="none" w="med" len="med"/>
                            <a:tailEnd type="none" w="med" len="med"/>
                          </a:ln>
                          <a:effectLst/>
                        </wps:spPr>
                        <wps:bodyPr upright="true"/>
                      </wps:wsp>
                      <wps:wsp>
                        <wps:cNvPr id="35" name="直接连接符 25"/>
                        <wps:cNvCnPr/>
                        <wps:spPr>
                          <a:xfrm flipV="true">
                            <a:off x="5500" y="7134"/>
                            <a:ext cx="180" cy="156"/>
                          </a:xfrm>
                          <a:prstGeom prst="line">
                            <a:avLst/>
                          </a:prstGeom>
                          <a:ln w="9525" cap="flat" cmpd="sng">
                            <a:solidFill>
                              <a:srgbClr val="000000"/>
                            </a:solidFill>
                            <a:prstDash val="solid"/>
                            <a:headEnd type="none" w="med" len="med"/>
                            <a:tailEnd type="none" w="med" len="med"/>
                          </a:ln>
                          <a:effectLst/>
                        </wps:spPr>
                        <wps:bodyPr upright="true"/>
                      </wps:wsp>
                      <wps:wsp>
                        <wps:cNvPr id="36" name="直接连接符 26"/>
                        <wps:cNvCnPr/>
                        <wps:spPr>
                          <a:xfrm flipV="true">
                            <a:off x="5740" y="7134"/>
                            <a:ext cx="180" cy="156"/>
                          </a:xfrm>
                          <a:prstGeom prst="line">
                            <a:avLst/>
                          </a:prstGeom>
                          <a:ln w="9525" cap="flat" cmpd="sng">
                            <a:solidFill>
                              <a:srgbClr val="000000"/>
                            </a:solidFill>
                            <a:prstDash val="solid"/>
                            <a:headEnd type="none" w="med" len="med"/>
                            <a:tailEnd type="none" w="med" len="med"/>
                          </a:ln>
                          <a:effectLst/>
                        </wps:spPr>
                        <wps:bodyPr upright="true"/>
                      </wps:wsp>
                      <wps:wsp>
                        <wps:cNvPr id="37" name="直接连接符 27"/>
                        <wps:cNvCnPr/>
                        <wps:spPr>
                          <a:xfrm flipV="true">
                            <a:off x="5980" y="7134"/>
                            <a:ext cx="180" cy="156"/>
                          </a:xfrm>
                          <a:prstGeom prst="line">
                            <a:avLst/>
                          </a:prstGeom>
                          <a:ln w="9525" cap="flat" cmpd="sng">
                            <a:solidFill>
                              <a:srgbClr val="000000"/>
                            </a:solidFill>
                            <a:prstDash val="solid"/>
                            <a:headEnd type="none" w="med" len="med"/>
                            <a:tailEnd type="none" w="med" len="med"/>
                          </a:ln>
                          <a:effectLst/>
                        </wps:spPr>
                        <wps:bodyPr upright="true"/>
                      </wps:wsp>
                      <wps:wsp>
                        <wps:cNvPr id="38" name="直接连接符 28"/>
                        <wps:cNvCnPr/>
                        <wps:spPr>
                          <a:xfrm flipV="true">
                            <a:off x="6220" y="7134"/>
                            <a:ext cx="180" cy="156"/>
                          </a:xfrm>
                          <a:prstGeom prst="line">
                            <a:avLst/>
                          </a:prstGeom>
                          <a:ln w="9525" cap="flat" cmpd="sng">
                            <a:solidFill>
                              <a:srgbClr val="000000"/>
                            </a:solidFill>
                            <a:prstDash val="solid"/>
                            <a:headEnd type="none" w="med" len="med"/>
                            <a:tailEnd type="none" w="med" len="med"/>
                          </a:ln>
                          <a:effectLst/>
                        </wps:spPr>
                        <wps:bodyPr upright="true"/>
                      </wps:wsp>
                      <wps:wsp>
                        <wps:cNvPr id="43" name="直接连接符 29"/>
                        <wps:cNvCnPr/>
                        <wps:spPr>
                          <a:xfrm flipV="true">
                            <a:off x="6460" y="7134"/>
                            <a:ext cx="180" cy="156"/>
                          </a:xfrm>
                          <a:prstGeom prst="line">
                            <a:avLst/>
                          </a:prstGeom>
                          <a:ln w="9525" cap="flat" cmpd="sng">
                            <a:solidFill>
                              <a:srgbClr val="000000"/>
                            </a:solidFill>
                            <a:prstDash val="solid"/>
                            <a:headEnd type="none" w="med" len="med"/>
                            <a:tailEnd type="none" w="med" len="med"/>
                          </a:ln>
                          <a:effectLst/>
                        </wps:spPr>
                        <wps:bodyPr upright="true"/>
                      </wps:wsp>
                      <wps:wsp>
                        <wps:cNvPr id="44" name="直接连接符 30"/>
                        <wps:cNvCnPr/>
                        <wps:spPr>
                          <a:xfrm flipV="true">
                            <a:off x="6680" y="7154"/>
                            <a:ext cx="180" cy="156"/>
                          </a:xfrm>
                          <a:prstGeom prst="line">
                            <a:avLst/>
                          </a:prstGeom>
                          <a:ln w="9525" cap="flat" cmpd="sng">
                            <a:solidFill>
                              <a:srgbClr val="000000"/>
                            </a:solidFill>
                            <a:prstDash val="solid"/>
                            <a:headEnd type="none" w="med" len="med"/>
                            <a:tailEnd type="none" w="med" len="med"/>
                          </a:ln>
                          <a:effectLst/>
                        </wps:spPr>
                        <wps:bodyPr upright="true"/>
                      </wps:wsp>
                      <wps:wsp>
                        <wps:cNvPr id="45" name="直接连接符 31"/>
                        <wps:cNvCnPr/>
                        <wps:spPr>
                          <a:xfrm flipV="true">
                            <a:off x="6920" y="7154"/>
                            <a:ext cx="180" cy="156"/>
                          </a:xfrm>
                          <a:prstGeom prst="line">
                            <a:avLst/>
                          </a:prstGeom>
                          <a:ln w="9525" cap="flat" cmpd="sng">
                            <a:solidFill>
                              <a:srgbClr val="000000"/>
                            </a:solidFill>
                            <a:prstDash val="solid"/>
                            <a:headEnd type="none" w="med" len="med"/>
                            <a:tailEnd type="none" w="med" len="med"/>
                          </a:ln>
                          <a:effectLst/>
                        </wps:spPr>
                        <wps:bodyPr upright="true"/>
                      </wps:wsp>
                      <wps:wsp>
                        <wps:cNvPr id="46" name="直接连接符 32"/>
                        <wps:cNvCnPr/>
                        <wps:spPr>
                          <a:xfrm flipV="true">
                            <a:off x="7160" y="7154"/>
                            <a:ext cx="180" cy="156"/>
                          </a:xfrm>
                          <a:prstGeom prst="line">
                            <a:avLst/>
                          </a:prstGeom>
                          <a:ln w="9525" cap="flat" cmpd="sng">
                            <a:solidFill>
                              <a:srgbClr val="000000"/>
                            </a:solidFill>
                            <a:prstDash val="solid"/>
                            <a:headEnd type="none" w="med" len="med"/>
                            <a:tailEnd type="none" w="med" len="med"/>
                          </a:ln>
                          <a:effectLst/>
                        </wps:spPr>
                        <wps:bodyPr upright="true"/>
                      </wps:wsp>
                      <wps:wsp>
                        <wps:cNvPr id="47" name="直接连接符 33"/>
                        <wps:cNvCnPr/>
                        <wps:spPr>
                          <a:xfrm flipV="true">
                            <a:off x="7400" y="7154"/>
                            <a:ext cx="180" cy="156"/>
                          </a:xfrm>
                          <a:prstGeom prst="line">
                            <a:avLst/>
                          </a:prstGeom>
                          <a:ln w="9525" cap="flat" cmpd="sng">
                            <a:solidFill>
                              <a:srgbClr val="000000"/>
                            </a:solidFill>
                            <a:prstDash val="solid"/>
                            <a:headEnd type="none" w="med" len="med"/>
                            <a:tailEnd type="none" w="med" len="med"/>
                          </a:ln>
                          <a:effectLst/>
                        </wps:spPr>
                        <wps:bodyPr upright="true"/>
                      </wps:wsp>
                      <wps:wsp>
                        <wps:cNvPr id="49" name="直接连接符 34"/>
                        <wps:cNvCnPr/>
                        <wps:spPr>
                          <a:xfrm flipV="true">
                            <a:off x="7640" y="7154"/>
                            <a:ext cx="180" cy="156"/>
                          </a:xfrm>
                          <a:prstGeom prst="line">
                            <a:avLst/>
                          </a:prstGeom>
                          <a:ln w="9525" cap="flat" cmpd="sng">
                            <a:solidFill>
                              <a:srgbClr val="000000"/>
                            </a:solidFill>
                            <a:prstDash val="solid"/>
                            <a:headEnd type="none" w="med" len="med"/>
                            <a:tailEnd type="none" w="med" len="med"/>
                          </a:ln>
                          <a:effectLst/>
                        </wps:spPr>
                        <wps:bodyPr upright="true"/>
                      </wps:wsp>
                      <wps:wsp>
                        <wps:cNvPr id="50" name="直接连接符 35"/>
                        <wps:cNvCnPr/>
                        <wps:spPr>
                          <a:xfrm flipV="true">
                            <a:off x="2700" y="7129"/>
                            <a:ext cx="180" cy="156"/>
                          </a:xfrm>
                          <a:prstGeom prst="line">
                            <a:avLst/>
                          </a:prstGeom>
                          <a:ln w="9525" cap="flat" cmpd="sng">
                            <a:solidFill>
                              <a:srgbClr val="000000"/>
                            </a:solidFill>
                            <a:prstDash val="solid"/>
                            <a:headEnd type="none" w="med" len="med"/>
                            <a:tailEnd type="none" w="med" len="med"/>
                          </a:ln>
                          <a:effectLst/>
                        </wps:spPr>
                        <wps:bodyPr upright="true"/>
                      </wps:wsp>
                      <wps:wsp>
                        <wps:cNvPr id="53" name="文本框 36"/>
                        <wps:cNvSpPr txBox="true"/>
                        <wps:spPr>
                          <a:xfrm>
                            <a:off x="6510" y="4743"/>
                            <a:ext cx="2520" cy="780"/>
                          </a:xfrm>
                          <a:prstGeom prst="rect">
                            <a:avLst/>
                          </a:prstGeom>
                          <a:solidFill>
                            <a:srgbClr val="FFFFFF"/>
                          </a:solidFill>
                          <a:ln w="9525">
                            <a:noFill/>
                          </a:ln>
                          <a:effectLst/>
                        </wps:spPr>
                        <wps:txbx>
                          <w:txbxContent>
                            <w:p>
                              <w:pPr>
                                <w:rPr>
                                  <w:rFonts w:hint="eastAsia"/>
                                </w:rPr>
                              </w:pPr>
                              <w:r>
                                <w:t>h=   m</w:t>
                              </w:r>
                            </w:p>
                          </w:txbxContent>
                        </wps:txbx>
                        <wps:bodyPr upright="true"/>
                      </wps:wsp>
                      <wps:wsp>
                        <wps:cNvPr id="54" name="文本框 37"/>
                        <wps:cNvSpPr txBox="true"/>
                        <wps:spPr>
                          <a:xfrm>
                            <a:off x="6510" y="9003"/>
                            <a:ext cx="2520" cy="780"/>
                          </a:xfrm>
                          <a:prstGeom prst="rect">
                            <a:avLst/>
                          </a:prstGeom>
                          <a:solidFill>
                            <a:srgbClr val="FFFFFF"/>
                          </a:solidFill>
                          <a:ln w="9525">
                            <a:noFill/>
                          </a:ln>
                          <a:effectLst/>
                        </wps:spPr>
                        <wps:txbx>
                          <w:txbxContent>
                            <w:p>
                              <w:pPr>
                                <w:rPr>
                                  <w:rFonts w:hint="eastAsia"/>
                                </w:rPr>
                              </w:pPr>
                              <w:r>
                                <w:t>h=   m</w:t>
                              </w:r>
                            </w:p>
                          </w:txbxContent>
                        </wps:txbx>
                        <wps:bodyPr upright="true"/>
                      </wps:wsp>
                    </wpg:wgp>
                  </a:graphicData>
                </a:graphic>
              </wp:anchor>
            </w:drawing>
          </mc:Choice>
          <mc:Fallback>
            <w:pict>
              <v:group id="组合 3" o:spid="_x0000_s1026" o:spt="203" style="position:absolute;left:0pt;margin-left:0pt;margin-top:0pt;height:483.6pt;width:450pt;mso-position-horizontal-relative:char;mso-position-vertical-relative:line;z-index:251670528;mso-width-relative:page;mso-height-relative:page;" coordorigin="1800,2142" coordsize="9000,9672" o:gfxdata="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">
                <o:lock v:ext="edit" rotation="t" aspectratio="t"/>
                <v:rect id="矩形 5" o:spid="_x0000_s1026" o:spt="1" style="position:absolute;left:1800;top:2142;height:9672;width:9000;"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fill on="f" focussize="0,0"/>
                  <v:stroke on="f"/>
                  <v:imagedata o:title=""/>
                  <o:lock v:ext="edit" aspectratio="t"/>
                </v:rect>
                <v:line id="直接连接符 6" o:spid="_x0000_s1026" o:spt="20" style="position:absolute;left:2700;top:3078;height:1;width:5940;" filled="f" stroked="t" coordsize="21600,21600" o:gfxdata="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RWtu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直接连接符 7" o:spid="_x0000_s1026" o:spt="20" style="position:absolute;left:2685;top:3078;height:8424;width:15;" filled="f" stroked="t" coordsize="21600,21600" o:gfxdata="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3/QLsAAADa&#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直接连接符 8" o:spid="_x0000_s1026" o:spt="20" style="position:absolute;left:2700;top:7134;height:0;width:6120;" filled="f" stroked="t" coordsize="21600,21600" o:gfxdata="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CazK5AAAA2g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直接连接符 9" o:spid="_x0000_s1026" o:spt="20" style="position:absolute;left:2700;top:11502;height:0;width:6480;" filled="f" stroked="t" coordsize="21600,21600" o:gfxdata="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Ozqm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直接连接符 10" o:spid="_x0000_s1026" o:spt="20" style="position:absolute;left:6300;top:3075;height:4056;width:1;" filled="f" stroked="t" coordsize="21600,21600" o:gfxdata="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2Enb4A&#10;AADb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line>
                <v:line id="直接连接符 11" o:spid="_x0000_s1026" o:spt="20" style="position:absolute;left:6300;top:7134;height:4368;width:0;" filled="f" stroked="t" coordsize="21600,21600" o:gfxdata="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EhBrsAAADb&#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line>
                <v:shape id="文本框 12" o:spid="_x0000_s1026" o:spt="202" type="#_x0000_t202" style="position:absolute;left:7920;top:2687;height:780;width:2880;" fillcolor="#FFFFFF" filled="t" stroked="f" coordsize="21600,21600" o:gfxdata="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3Mk56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1026" o:spt="202" type="#_x0000_t202" style="position:absolute;left:7920;top:6726;height:780;width:2880;" fillcolor="#FFFFFF" filled="t" stroked="f" coordsize="21600,21600" o:gfxdata="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ANg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1026" o:spt="20" style="position:absolute;left:2880;top:7134;flip:y;height:156;width:180;" filled="f" stroked="t" coordsize="21600,21600" o:gfxdata="UEsDBAoAAAAAAIdO4kAAAAAAAAAAAAAAAAAEAAAAZHJzL1BLAwQUAAAACACHTuJAaQnogboAAADb&#10;AAAADwAAAGRycy9kb3ducmV2LnhtbEVP32vCMBB+F/wfwgm+zUQd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ei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15" o:spid="_x0000_s1026" o:spt="20" style="position:absolute;left:3120;top:7134;flip:y;height:156;width:180;" filled="f" stroked="t" coordsize="21600,21600" o:gfxdata="UEsDBAoAAAAAAIdO4kAAAAAAAAAAAAAAAAAEAAAAZHJzL1BLAwQUAAAACACHTuJABkVNGroAAADb&#10;AAAADwAAAGRycy9kb3ducmV2LnhtbEVP32vCMBB+F/wfwgm+zURl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U0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16" o:spid="_x0000_s1026" o:spt="20" style="position:absolute;left:3360;top:7134;flip:y;height:156;width:180;" filled="f" stroked="t" coordsize="21600,21600" o:gfxdata="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X022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17" o:spid="_x0000_s1026" o:spt="20" style="position:absolute;left:3600;top:7134;flip:y;height:156;width:180;" filled="f" stroked="t" coordsize="21600,21600" o:gfxdata="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23b2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18" o:spid="_x0000_s1026" o:spt="20" style="position:absolute;left:3840;top:7134;flip:y;height:156;width:180;" filled="f" stroked="t" coordsize="21600,21600" o:gfxdata="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9" o:spid="_x0000_s1026" o:spt="20" style="position:absolute;left:4080;top:7134;flip:y;height:156;width:180;"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20" o:spid="_x0000_s1026" o:spt="20" style="position:absolute;left:4320;top:7134;flip:y;height:156;width:180;" filled="f" stroked="t" coordsize="21600,21600" o:gfxdata="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eJD+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21" o:spid="_x0000_s1026" o:spt="20" style="position:absolute;left:4560;top:7134;flip:y;height:156;width:180;" filled="f" stroked="t" coordsize="21600,21600" o:gfxdata="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ga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2" o:spid="_x0000_s1026" o:spt="20" style="position:absolute;left:4780;top:7134;flip:y;height:156;width:180;" filled="f" stroked="t" coordsize="21600,21600" o:gfxdata="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H9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3" o:spid="_x0000_s1026" o:spt="20" style="position:absolute;left:5020;top:7134;flip:y;height:156;width:180;" filled="f" stroked="t" coordsize="21600,21600" o:gfxdata="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Lp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4" o:spid="_x0000_s1026" o:spt="20" style="position:absolute;left:5260;top:7134;flip:y;height:156;width:180;"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5" o:spid="_x0000_s1026" o:spt="20" style="position:absolute;left:5500;top:7134;flip:y;height:156;width:180;" filled="f" stroked="t"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6" o:spid="_x0000_s1026" o:spt="20" style="position:absolute;left:5740;top:7134;flip:y;height:156;width:180;"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7" o:spid="_x0000_s1026" o:spt="20" style="position:absolute;left:5980;top:7134;flip:y;height:156;width:18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8" o:spid="_x0000_s1026" o:spt="20" style="position:absolute;left:6220;top:7134;flip:y;height:156;width:18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29" o:spid="_x0000_s1026" o:spt="20" style="position:absolute;left:6460;top:7134;flip:y;height:156;width:180;" filled="f" stroked="t"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0" o:spid="_x0000_s1026" o:spt="20" style="position:absolute;left:6680;top:7154;flip:y;height:156;width:180;" filled="f" stroked="t"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31" o:spid="_x0000_s1026" o:spt="20" style="position:absolute;left:6920;top:7154;flip:y;height:156;width:180;" filled="f" stroked="t"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2" o:spid="_x0000_s1026" o:spt="20" style="position:absolute;left:7160;top:7154;flip:y;height:156;width:180;" filled="f" stroked="t"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3" o:spid="_x0000_s1026" o:spt="20" style="position:absolute;left:7400;top:7154;flip:y;height:156;width:180;" filled="f" stroked="t"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4" o:spid="_x0000_s1026" o:spt="20" style="position:absolute;left:7640;top:7154;flip:y;height:156;width:180;" filled="f" stroked="t"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5" o:spid="_x0000_s1026" o:spt="20" style="position:absolute;left:2700;top:7129;flip:y;height:156;width:180;"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文本框 36" o:spid="_x0000_s1026" o:spt="202" type="#_x0000_t202" style="position:absolute;left:6510;top:4743;height:780;width:2520;" fillcolor="#FFFFFF" filled="t" stroked="f" coordsize="21600,21600" o:gfxdata="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LJ/b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rPr>
                            <w:rFonts w:hint="eastAsia"/>
                          </w:rPr>
                        </w:pPr>
                        <w:r>
                          <w:t>h=   m</w:t>
                        </w:r>
                      </w:p>
                    </w:txbxContent>
                  </v:textbox>
                </v:shape>
                <v:shape id="文本框 37" o:spid="_x0000_s1026" o:spt="202" type="#_x0000_t202" style="position:absolute;left:6510;top:9003;height:780;width:2520;" fillcolor="#FFFFFF" filled="t" stroked="f" coordsize="21600,21600" o:gfxdata="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mxm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eastAsia"/>
                          </w:rPr>
                        </w:pPr>
                        <w:r>
                          <w:t>h=   m</w:t>
                        </w:r>
                      </w:p>
                    </w:txbxContent>
                  </v:textbox>
                </v:shape>
                <w10:anchorlock/>
              </v:group>
            </w:pict>
          </mc:Fallback>
        </mc:AlternateContent>
      </w:r>
      <w:r>
        <w:rPr>
          <w:rFonts w:hint="default" w:ascii="Times New Roman" w:hAnsi="Times New Roman" w:eastAsia="方正仿宋_GBK" w:cs="Times New Roman"/>
          <w:color w:val="auto"/>
          <w:sz w:val="32"/>
          <w:szCs w:val="32"/>
          <w:highlight w:val="none"/>
        </w:rPr>
        <w:fldChar w:fldCharType="end"/>
      </w:r>
      <w:r>
        <w:rPr>
          <w:rFonts w:hint="default" w:ascii="Times New Roman" w:hAnsi="Times New Roman" w:eastAsia="方正仿宋_GBK" w:cs="Times New Roman"/>
          <w:color w:val="auto"/>
          <w:sz w:val="32"/>
          <w:szCs w:val="32"/>
          <w:highlight w:val="none"/>
        </w:rPr>
        <w:drawing>
          <wp:inline distT="0" distB="0" distL="114300" distR="114300">
            <wp:extent cx="5715000" cy="6124575"/>
            <wp:effectExtent l="0" t="0" r="0" b="0"/>
            <wp:docPr id="5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true"/>
                    </pic:cNvPicPr>
                  </pic:nvPicPr>
                  <pic:blipFill>
                    <a:blip r:embed="rId22"/>
                    <a:srcRect t="-99454" b="99454"/>
                    <a:stretch>
                      <a:fillRect/>
                    </a:stretch>
                  </pic:blipFill>
                  <pic:spPr>
                    <a:xfrm>
                      <a:off x="0" y="0"/>
                      <a:ext cx="5715000" cy="6124575"/>
                    </a:xfrm>
                    <a:prstGeom prst="rect">
                      <a:avLst/>
                    </a:prstGeom>
                    <a:noFill/>
                    <a:ln w="9525">
                      <a:noFill/>
                    </a:ln>
                  </pic:spPr>
                </pic:pic>
              </a:graphicData>
            </a:graphic>
          </wp:inline>
        </w:drawing>
      </w:r>
    </w:p>
    <w:p>
      <w:pPr>
        <w:jc w:val="center"/>
        <w:rPr>
          <w:rFonts w:hint="default" w:ascii="Times New Roman" w:hAnsi="Times New Roman" w:eastAsia="方正仿宋_GBK" w:cs="Times New Roman"/>
          <w:b/>
          <w:bCs/>
          <w:color w:val="auto"/>
          <w:sz w:val="32"/>
          <w:szCs w:val="32"/>
          <w:highlight w:val="none"/>
        </w:rPr>
      </w:pPr>
    </w:p>
    <w:p>
      <w:pPr>
        <w:jc w:val="center"/>
        <w:rPr>
          <w:rFonts w:hint="default" w:ascii="Times New Roman" w:hAnsi="Times New Roman" w:eastAsia="方正仿宋_GBK" w:cs="Times New Roman"/>
          <w:b/>
          <w:bCs/>
          <w:color w:val="auto"/>
          <w:sz w:val="32"/>
          <w:szCs w:val="32"/>
          <w:highlight w:val="none"/>
        </w:rPr>
      </w:pPr>
    </w:p>
    <w:p>
      <w:pPr>
        <w:jc w:val="center"/>
        <w:rPr>
          <w:rFonts w:hint="default" w:ascii="Times New Roman" w:hAnsi="Times New Roman" w:eastAsia="方正仿宋_GBK" w:cs="Times New Roman"/>
          <w:b/>
          <w:bCs/>
          <w:color w:val="auto"/>
          <w:sz w:val="32"/>
          <w:szCs w:val="32"/>
          <w:highlight w:val="none"/>
          <w:u w:val="single"/>
        </w:rPr>
      </w:pPr>
      <w:r>
        <w:rPr>
          <w:rFonts w:hint="default" w:ascii="Times New Roman" w:hAnsi="Times New Roman" w:eastAsia="方正仿宋_GBK" w:cs="Times New Roman"/>
          <w:b/>
          <w:bCs/>
          <w:color w:val="auto"/>
          <w:sz w:val="32"/>
          <w:szCs w:val="32"/>
          <w:highlight w:val="none"/>
        </w:rPr>
        <w:t>采用的高程系：</w:t>
      </w:r>
      <w:r>
        <w:rPr>
          <w:rFonts w:hint="default" w:ascii="Times New Roman" w:hAnsi="Times New Roman" w:eastAsia="方正仿宋_GBK" w:cs="Times New Roman"/>
          <w:b/>
          <w:bCs/>
          <w:color w:val="auto"/>
          <w:sz w:val="32"/>
          <w:szCs w:val="32"/>
          <w:highlight w:val="none"/>
          <w:u w:val="single"/>
        </w:rPr>
        <w:t xml:space="preserve">              </w:t>
      </w:r>
    </w:p>
    <w:p>
      <w:pPr>
        <w:jc w:val="center"/>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比例尺：1： </w:t>
      </w:r>
      <w:r>
        <w:rPr>
          <w:rFonts w:hint="default" w:ascii="Times New Roman" w:hAnsi="Times New Roman" w:eastAsia="方正仿宋_GBK" w:cs="Times New Roman"/>
          <w:color w:val="auto"/>
          <w:sz w:val="32"/>
          <w:szCs w:val="32"/>
          <w:highlight w:val="none"/>
          <w:u w:val="single"/>
        </w:rPr>
        <w:t xml:space="preserve">             </w:t>
      </w:r>
      <w:r>
        <w:rPr>
          <w:rFonts w:hint="default" w:ascii="Times New Roman" w:hAnsi="Times New Roman" w:eastAsia="方正仿宋_GBK" w:cs="Times New Roman"/>
          <w:color w:val="auto"/>
          <w:sz w:val="32"/>
          <w:szCs w:val="32"/>
          <w:highlight w:val="none"/>
        </w:rPr>
        <w:t xml:space="preserve">    </w:t>
      </w:r>
    </w:p>
    <w:p>
      <w:pPr>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br w:type="page"/>
      </w:r>
    </w:p>
    <w:p>
      <w:pPr>
        <w:jc w:val="left"/>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附件3</w:t>
      </w:r>
    </w:p>
    <w:p>
      <w:pPr>
        <w:pStyle w:val="6"/>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市</w:t>
      </w:r>
      <w:r>
        <w:rPr>
          <w:rFonts w:hint="eastAsia" w:ascii="Times New Roman" w:hAnsi="Times New Roman" w:eastAsia="方正仿宋_GBK" w:cs="Times New Roman"/>
          <w:sz w:val="32"/>
          <w:highlight w:val="none"/>
        </w:rPr>
        <w:t>（县）</w:t>
      </w:r>
      <w:r>
        <w:rPr>
          <w:rFonts w:ascii="Times New Roman" w:hAnsi="Times New Roman" w:eastAsia="方正仿宋_GBK" w:cs="Times New Roman"/>
          <w:sz w:val="32"/>
          <w:highlight w:val="none"/>
        </w:rPr>
        <w:t>政府规划管理部门确定的出让宗地规划条件</w:t>
      </w:r>
    </w:p>
    <w:p>
      <w:pPr>
        <w:pStyle w:val="18"/>
        <w:rPr>
          <w:rFonts w:ascii="Times New Roman" w:hAnsi="Times New Roman" w:eastAsia="方正小标宋简体" w:cs="宋体"/>
          <w:color w:val="000000"/>
          <w:szCs w:val="32"/>
          <w:highlight w:val="none"/>
          <w:lang w:eastAsia="zh-CN"/>
        </w:rPr>
        <w:sectPr>
          <w:headerReference r:id="rId9" w:type="default"/>
          <w:footerReference r:id="rId10" w:type="default"/>
          <w:pgSz w:w="11906" w:h="16838"/>
          <w:pgMar w:top="2098" w:right="1474" w:bottom="1985" w:left="1588" w:header="851" w:footer="1247" w:gutter="0"/>
          <w:cols w:space="0" w:num="1"/>
          <w:docGrid w:linePitch="319" w:charSpace="0"/>
        </w:sectPr>
      </w:pPr>
    </w:p>
    <w:p>
      <w:pPr>
        <w:jc w:val="left"/>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附件</w:t>
      </w:r>
      <w:r>
        <w:rPr>
          <w:rFonts w:hint="eastAsia" w:ascii="Times New Roman" w:hAnsi="Times New Roman" w:eastAsia="方正黑体_GBK" w:cs="Times New Roman"/>
          <w:sz w:val="32"/>
          <w:szCs w:val="32"/>
          <w:highlight w:val="none"/>
        </w:rPr>
        <w:t>4</w:t>
      </w:r>
    </w:p>
    <w:p>
      <w:pPr>
        <w:spacing w:line="600" w:lineRule="exact"/>
        <w:jc w:val="center"/>
        <w:rPr>
          <w:rFonts w:ascii="方正小标宋_GBK" w:hAnsi="Times New Roman" w:eastAsia="方正小标宋_GBK" w:cs="Times New Roman"/>
          <w:bCs/>
          <w:sz w:val="44"/>
          <w:szCs w:val="44"/>
          <w:highlight w:val="none"/>
        </w:rPr>
      </w:pPr>
    </w:p>
    <w:p>
      <w:pPr>
        <w:spacing w:line="600" w:lineRule="exact"/>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国有建设用地使用权出让合同（示范文本）</w:t>
      </w:r>
    </w:p>
    <w:p>
      <w:pPr>
        <w:spacing w:line="600" w:lineRule="exact"/>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部 分 条 款 释 义</w:t>
      </w: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一、条款原文：第五条，本合同项下出让宗地的用途为</w:t>
      </w:r>
      <w:r>
        <w:rPr>
          <w:rFonts w:ascii="Times New Roman" w:hAnsi="Times New Roman" w:eastAsia="方正仿宋_GBK" w:cs="Times New Roman"/>
          <w:sz w:val="32"/>
          <w:szCs w:val="32"/>
          <w:highlight w:val="none"/>
          <w:u w:val="single"/>
        </w:rPr>
        <w:t>              </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释义：出让宗地的用途按照《国土空间调查、规划、用途管制用地用海分类指南（试行）》规定的土地二级类填写。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条款原文：第十条，分期支付国有建设用地使用权出让价款的，受让人在支付第二期及以后各期国有建设用地使用权出让价款时，同意按照约定的第一期付款期限次日全国银行间同业拆借中心公布的贷款市场报价利率（LPR）一年期利率，向出让人支付利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释义：分期付款利率按照受让人支付第一期土地出让价款次日中国人民银行授权</w:t>
      </w:r>
      <w:r>
        <w:rPr>
          <w:rFonts w:ascii="Times New Roman" w:hAnsi="Times New Roman" w:eastAsia="方正仿宋_GBK" w:cs="Times New Roman"/>
          <w:sz w:val="32"/>
          <w:szCs w:val="32"/>
          <w:highlight w:val="none"/>
          <w:shd w:val="clear" w:color="auto" w:fill="FFFFFF"/>
        </w:rPr>
        <w:t>全国银行间同业拆借中心公布的1年期贷款市场报价利率（LPR）</w:t>
      </w:r>
      <w:r>
        <w:rPr>
          <w:rFonts w:ascii="Times New Roman" w:hAnsi="Times New Roman" w:eastAsia="方正仿宋_GBK" w:cs="Times New Roman"/>
          <w:sz w:val="32"/>
          <w:szCs w:val="32"/>
          <w:highlight w:val="none"/>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pPr>
        <w:pStyle w:val="6"/>
        <w:spacing w:line="600" w:lineRule="exact"/>
        <w:ind w:firstLine="640" w:firstLineChars="200"/>
        <w:rPr>
          <w:rFonts w:ascii="Times New Roman" w:hAnsi="Times New Roman" w:eastAsia="方正仿宋_GBK" w:cs="Times New Roman"/>
          <w:kern w:val="0"/>
          <w:sz w:val="32"/>
          <w:highlight w:val="none"/>
        </w:rPr>
      </w:pPr>
      <w:r>
        <w:rPr>
          <w:rFonts w:ascii="Times New Roman" w:hAnsi="Times New Roman" w:eastAsia="方正仿宋_GBK" w:cs="Times New Roman"/>
          <w:sz w:val="32"/>
          <w:highlight w:val="none"/>
        </w:rPr>
        <w:t>三、条款原文：第十一条，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释义：受让人分期支付国有建设用地使用权出让价款的，相关证明材料需包括分期付款利息缴纳凭证；涉及违约金的，还需提供违约金缴纳凭证。</w:t>
      </w:r>
    </w:p>
    <w:p>
      <w:pPr>
        <w:pStyle w:val="6"/>
        <w:spacing w:line="60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四、条款原文：第十四条，受让人同意本合同项下宗地建设项目在</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日之前开工，在</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日之前竣工。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条款原文：第三十三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ascii="Times New Roman" w:eastAsia="方正小标宋_GBK"/>
          <w:kern w:val="0"/>
          <w:sz w:val="44"/>
          <w:szCs w:val="44"/>
          <w:highlight w:val="none"/>
        </w:rPr>
      </w:pPr>
      <w:r>
        <w:rPr>
          <w:rFonts w:ascii="Times New Roman" w:eastAsia="方正小标宋_GBK"/>
          <w:kern w:val="0"/>
          <w:sz w:val="44"/>
          <w:szCs w:val="44"/>
          <w:highlight w:val="none"/>
        </w:rPr>
        <w:br w:type="page"/>
      </w: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附件5</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建设项目用地信息公示牌</w:t>
      </w:r>
    </w:p>
    <w:tbl>
      <w:tblPr>
        <w:tblStyle w:val="13"/>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建设项目用地基本情况</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土地使用权人</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用地面积（平方米）</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供地方式</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出让合同编号</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规划条件</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使用期限（年）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bookmarkStart w:id="0" w:name="BM_ECF3CFBF839D4B6C8EA8151AB96AB854"/>
            <w:bookmarkEnd w:id="0"/>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约定开工时间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约定竣工时间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监管机构</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举报电话</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bl>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公示牌制作安装要求：</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1．用地单位须在申请交地前安装完成公示牌。</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2．公示牌设置于施工现场的醒目位置，待工程竣工验收合格后由建设单位自行撤除。</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3．公示牌由用地单位按照《出让合同》或《划拨决定书》的约定制作，不得擅自修改。公示信息中，监管机构为“</w:t>
      </w:r>
      <w:r>
        <w:rPr>
          <w:rFonts w:hint="eastAsia" w:ascii="Times New Roman" w:hAnsi="Times New Roman" w:eastAsia="方正仿宋_GBK" w:cs="Times New Roman"/>
          <w:kern w:val="0"/>
          <w:sz w:val="30"/>
          <w:szCs w:val="30"/>
          <w:highlight w:val="none"/>
        </w:rPr>
        <w:t>资阳市自然资源和规划局临空经济区分局</w:t>
      </w:r>
      <w:r>
        <w:rPr>
          <w:rFonts w:ascii="Times New Roman" w:hAnsi="Times New Roman" w:eastAsia="方正仿宋_GBK" w:cs="Times New Roman"/>
          <w:kern w:val="0"/>
          <w:sz w:val="30"/>
          <w:szCs w:val="30"/>
          <w:highlight w:val="none"/>
        </w:rPr>
        <w:t>”，举报电话为028-26</w:t>
      </w:r>
      <w:r>
        <w:rPr>
          <w:rFonts w:hint="eastAsia" w:ascii="Times New Roman" w:hAnsi="Times New Roman" w:eastAsia="方正仿宋_GBK" w:cs="Times New Roman"/>
          <w:kern w:val="0"/>
          <w:sz w:val="30"/>
          <w:szCs w:val="30"/>
          <w:highlight w:val="none"/>
        </w:rPr>
        <w:t>080200</w:t>
      </w:r>
      <w:r>
        <w:rPr>
          <w:rFonts w:ascii="Times New Roman" w:hAnsi="Times New Roman" w:eastAsia="方正仿宋_GBK" w:cs="Times New Roman"/>
          <w:kern w:val="0"/>
          <w:sz w:val="30"/>
          <w:szCs w:val="30"/>
          <w:highlight w:val="none"/>
        </w:rPr>
        <w:t>，土地坐落图按照该地块宗地图等比例放大，并标明四至。</w:t>
      </w:r>
    </w:p>
    <w:p>
      <w:pPr>
        <w:pStyle w:val="6"/>
        <w:spacing w:line="390" w:lineRule="exact"/>
        <w:ind w:firstLine="600" w:firstLineChars="200"/>
        <w:rPr>
          <w:rFonts w:ascii="Times New Roman" w:hAnsi="Times New Roman" w:eastAsia="方正黑体_GBK" w:cs="Times New Roman"/>
          <w:sz w:val="32"/>
          <w:highlight w:val="none"/>
        </w:rPr>
      </w:pPr>
      <w:r>
        <w:rPr>
          <w:rFonts w:ascii="Times New Roman" w:hAnsi="Times New Roman" w:eastAsia="方正仿宋_GBK" w:cs="Times New Roman"/>
          <w:kern w:val="0"/>
          <w:sz w:val="30"/>
          <w:szCs w:val="30"/>
          <w:highlight w:val="none"/>
        </w:rPr>
        <w:t>4．公示牌背板尺寸大小为3.0米（长）×2.0米（宽），左右立柱及背板均为不锈钢材质，白底红字，背板下边缘距离地面高1.5米，使用水泥墩固定。</w:t>
      </w:r>
    </w:p>
    <w:p>
      <w:pPr>
        <w:rPr>
          <w:rFonts w:ascii="Times New Roman" w:hAnsi="Times New Roman" w:eastAsia="方正黑体_GBK" w:cs="Times New Roman"/>
          <w:b/>
          <w:bCs/>
          <w:sz w:val="32"/>
          <w:szCs w:val="32"/>
          <w:highlight w:val="none"/>
          <w:u w:val="single"/>
        </w:rPr>
      </w:pPr>
      <w:r>
        <w:rPr>
          <w:rFonts w:ascii="Times New Roman" w:hAnsi="Times New Roman" w:eastAsia="方正仿宋_GBK" w:cs="Times New Roman"/>
          <w:kern w:val="0"/>
          <w:sz w:val="30"/>
          <w:szCs w:val="30"/>
          <w:highlight w:val="none"/>
        </w:rPr>
        <w:br w:type="page"/>
      </w:r>
      <w:r>
        <w:rPr>
          <w:rFonts w:ascii="Times New Roman" w:hAnsi="Times New Roman" w:eastAsia="方正黑体_GBK" w:cs="Times New Roman"/>
          <w:sz w:val="32"/>
          <w:szCs w:val="32"/>
          <w:highlight w:val="none"/>
        </w:rPr>
        <w:t>附件6</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建设项目动工申报书</w:t>
      </w:r>
    </w:p>
    <w:p>
      <w:pPr>
        <w:ind w:firstLine="2240" w:firstLineChars="700"/>
        <w:rPr>
          <w:rFonts w:ascii="Times New Roman" w:hAnsi="Times New Roman" w:eastAsia="方正仿宋_GBK" w:cs="Times New Roman"/>
          <w:sz w:val="32"/>
          <w:szCs w:val="32"/>
          <w:highlight w:val="none"/>
        </w:rPr>
      </w:pPr>
    </w:p>
    <w:p>
      <w:pPr>
        <w:spacing w:line="540" w:lineRule="exact"/>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资阳市自然资源和规划局临空经济区分局</w:t>
      </w:r>
      <w:r>
        <w:rPr>
          <w:rFonts w:ascii="Times New Roman" w:hAnsi="Times New Roman" w:eastAsia="方正仿宋_GBK" w:cs="Times New Roman"/>
          <w:sz w:val="32"/>
          <w:szCs w:val="32"/>
          <w:highlight w:val="none"/>
        </w:rPr>
        <w:t>：</w:t>
      </w:r>
    </w:p>
    <w:p>
      <w:pPr>
        <w:spacing w:line="540" w:lineRule="exact"/>
        <w:ind w:firstLine="645"/>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资阳市临空经济区管理委员会</w:t>
      </w:r>
      <w:r>
        <w:rPr>
          <w:rFonts w:ascii="Times New Roman" w:hAnsi="Times New Roman" w:eastAsia="方正仿宋_GBK" w:cs="Times New Roman"/>
          <w:sz w:val="32"/>
          <w:szCs w:val="32"/>
          <w:highlight w:val="none"/>
        </w:rPr>
        <w:t>与我方签订的国有建设用地使用权□出让合同∕□划拨决定书（□出让合同号∕□划拨决定书编号∕□电子监管号为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），宗地位置为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，面积为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平方米，约定动工日期为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，土地权利证号</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我方拟在上述宗地建设</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开发项目，目前已取得部分（全部）的建筑施工许可证（编号为</w:t>
      </w:r>
      <w:r>
        <w:rPr>
          <w:rFonts w:ascii="Times New Roman" w:hAnsi="Times New Roman" w:eastAsia="方正仿宋_GBK" w:cs="Times New Roman"/>
          <w:sz w:val="32"/>
          <w:szCs w:val="32"/>
          <w:highlight w:val="none"/>
          <w:u w:val="single"/>
        </w:rPr>
        <w:t>：                    ）</w:t>
      </w:r>
      <w:r>
        <w:rPr>
          <w:rFonts w:ascii="Times New Roman" w:hAnsi="Times New Roman" w:eastAsia="方正仿宋_GBK" w:cs="Times New Roman"/>
          <w:sz w:val="32"/>
          <w:szCs w:val="32"/>
          <w:highlight w:val="none"/>
        </w:rPr>
        <w:t>，并于</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月</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日已达到动工标准。请予检查复核。</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特此申报。</w:t>
      </w:r>
    </w:p>
    <w:p>
      <w:pPr>
        <w:spacing w:line="540" w:lineRule="exact"/>
        <w:ind w:right="640"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（联系人：          联系电话:         ）</w:t>
      </w:r>
    </w:p>
    <w:p>
      <w:pPr>
        <w:spacing w:line="540" w:lineRule="exact"/>
        <w:ind w:right="640"/>
        <w:jc w:val="right"/>
        <w:rPr>
          <w:rFonts w:ascii="Times New Roman" w:hAnsi="Times New Roman" w:eastAsia="方正仿宋_GBK" w:cs="Times New Roman"/>
          <w:sz w:val="32"/>
          <w:szCs w:val="32"/>
          <w:highlight w:val="none"/>
        </w:rPr>
      </w:pPr>
    </w:p>
    <w:p>
      <w:pPr>
        <w:spacing w:line="540" w:lineRule="exact"/>
        <w:ind w:right="1280"/>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单位</w:t>
      </w:r>
      <w:r>
        <w:rPr>
          <w:rFonts w:ascii="Times New Roman" w:hAnsi="Times New Roman" w:eastAsia="方正仿宋_GBK" w:cs="Times New Roman"/>
          <w:sz w:val="30"/>
          <w:szCs w:val="30"/>
          <w:highlight w:val="none"/>
        </w:rPr>
        <w:t>（印章）</w:t>
      </w:r>
      <w:r>
        <w:rPr>
          <w:rFonts w:ascii="Times New Roman" w:hAnsi="Times New Roman" w:eastAsia="方正仿宋_GBK" w:cs="Times New Roman"/>
          <w:sz w:val="32"/>
          <w:szCs w:val="32"/>
          <w:highlight w:val="none"/>
        </w:rPr>
        <w:t>/个人：</w:t>
      </w:r>
    </w:p>
    <w:p>
      <w:pPr>
        <w:spacing w:line="540" w:lineRule="exact"/>
        <w:ind w:right="640" w:firstLine="5920" w:firstLineChars="1850"/>
        <w:rPr>
          <w:rFonts w:ascii="Times New Roman" w:hAnsi="Times New Roman" w:eastAsia="方正仿宋_GBK" w:cs="Times New Roman"/>
          <w:sz w:val="32"/>
          <w:szCs w:val="32"/>
          <w:highlight w:val="none"/>
        </w:rPr>
      </w:pPr>
    </w:p>
    <w:p>
      <w:pPr>
        <w:spacing w:line="540" w:lineRule="exact"/>
        <w:ind w:right="480" w:firstLine="645"/>
        <w:jc w:val="righ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年  月  日</w:t>
      </w:r>
    </w:p>
    <w:p>
      <w:pPr>
        <w:spacing w:line="560" w:lineRule="exact"/>
        <w:rPr>
          <w:rFonts w:ascii="Times New Roman" w:hAnsi="Times New Roman" w:eastAsia="方正仿宋_GBK" w:cs="Times New Roman"/>
          <w:b/>
          <w:sz w:val="28"/>
          <w:szCs w:val="21"/>
          <w:highlight w:val="none"/>
        </w:rPr>
      </w:pPr>
    </w:p>
    <w:p>
      <w:pPr>
        <w:spacing w:line="560" w:lineRule="exact"/>
        <w:ind w:right="32"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注：若无电子监管号，应填写合同号或划拨决定书编号；本申报书由</w:t>
      </w:r>
      <w:r>
        <w:rPr>
          <w:rFonts w:hint="eastAsia" w:ascii="Times New Roman" w:hAnsi="Times New Roman" w:eastAsia="方正仿宋_GBK" w:cs="Times New Roman"/>
          <w:sz w:val="32"/>
          <w:szCs w:val="32"/>
          <w:highlight w:val="none"/>
        </w:rPr>
        <w:t>资阳市自然资源和规划局临空经济区分局</w:t>
      </w:r>
      <w:r>
        <w:rPr>
          <w:rFonts w:ascii="Times New Roman" w:hAnsi="Times New Roman" w:eastAsia="方正仿宋_GBK" w:cs="Times New Roman"/>
          <w:sz w:val="32"/>
          <w:szCs w:val="32"/>
          <w:highlight w:val="none"/>
        </w:rPr>
        <w:t>负责受理。</w:t>
      </w:r>
    </w:p>
    <w:p>
      <w:pPr>
        <w:rPr>
          <w:rFonts w:ascii="方正黑体_GBK" w:hAnsi="Times New Roman" w:eastAsia="方正黑体_GBK" w:cs="Times New Roman"/>
          <w:sz w:val="32"/>
          <w:szCs w:val="32"/>
          <w:highlight w:val="none"/>
        </w:rPr>
      </w:pPr>
    </w:p>
    <w:p>
      <w:pPr>
        <w:rPr>
          <w:rFonts w:ascii="方正黑体_GBK" w:hAnsi="Times New Roman" w:eastAsia="方正黑体_GBK" w:cs="Times New Roman"/>
          <w:sz w:val="44"/>
          <w:szCs w:val="44"/>
          <w:highlight w:val="none"/>
        </w:rPr>
      </w:pPr>
      <w:r>
        <w:rPr>
          <w:rFonts w:hint="eastAsia" w:ascii="方正黑体_GBK" w:hAnsi="Times New Roman" w:eastAsia="方正黑体_GBK" w:cs="Times New Roman"/>
          <w:sz w:val="32"/>
          <w:szCs w:val="32"/>
          <w:highlight w:val="none"/>
        </w:rPr>
        <w:t>附件</w:t>
      </w:r>
      <w:r>
        <w:rPr>
          <w:rFonts w:ascii="Times New Roman" w:hAnsi="Times New Roman" w:eastAsia="方正黑体_GBK" w:cs="Times New Roman"/>
          <w:sz w:val="32"/>
          <w:szCs w:val="32"/>
          <w:highlight w:val="none"/>
        </w:rPr>
        <w:t>7</w:t>
      </w:r>
    </w:p>
    <w:p>
      <w:pPr>
        <w:spacing w:line="560" w:lineRule="exact"/>
        <w:jc w:val="center"/>
        <w:rPr>
          <w:rFonts w:ascii="Times New Roman" w:hAnsi="Times New Roman" w:eastAsia="方正小标宋_GBK" w:cs="Times New Roman"/>
          <w:sz w:val="44"/>
          <w:szCs w:val="44"/>
          <w:highlight w:val="none"/>
        </w:rPr>
      </w:pPr>
      <w:r>
        <w:rPr>
          <w:rFonts w:ascii="Times New Roman" w:hAnsi="Times New Roman" w:eastAsia="方正小标宋_GBK" w:cs="Times New Roman"/>
          <w:sz w:val="44"/>
          <w:szCs w:val="44"/>
          <w:highlight w:val="none"/>
        </w:rPr>
        <w:t>建设项目竣工申报书</w:t>
      </w:r>
    </w:p>
    <w:p>
      <w:pPr>
        <w:ind w:firstLine="2240" w:firstLineChars="700"/>
        <w:rPr>
          <w:rFonts w:ascii="Times New Roman" w:hAnsi="Times New Roman" w:eastAsia="方正仿宋_GBK" w:cs="Times New Roman"/>
          <w:sz w:val="32"/>
          <w:szCs w:val="32"/>
          <w:highlight w:val="none"/>
        </w:rPr>
      </w:pPr>
    </w:p>
    <w:p>
      <w:pPr>
        <w:spacing w:line="560" w:lineRule="exact"/>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资阳市自然资源和规划局临空经济区分局</w:t>
      </w:r>
      <w:r>
        <w:rPr>
          <w:rFonts w:ascii="Times New Roman" w:hAnsi="Times New Roman" w:eastAsia="方正仿宋简体" w:cs="Times New Roman"/>
          <w:sz w:val="32"/>
          <w:szCs w:val="32"/>
          <w:highlight w:val="none"/>
        </w:rPr>
        <w:t>：</w:t>
      </w:r>
    </w:p>
    <w:p>
      <w:pPr>
        <w:spacing w:line="560" w:lineRule="exact"/>
        <w:ind w:firstLine="640" w:firstLineChars="200"/>
        <w:rPr>
          <w:rFonts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资阳市临空经济区管理委员会</w:t>
      </w:r>
      <w:r>
        <w:rPr>
          <w:rFonts w:ascii="Times New Roman" w:hAnsi="Times New Roman" w:eastAsia="方正仿宋简体" w:cs="Times New Roman"/>
          <w:sz w:val="32"/>
          <w:szCs w:val="32"/>
          <w:highlight w:val="none"/>
        </w:rPr>
        <w:t>与我方签订的国有建设用地使用权□出让合同∕□划拨决定书（□出让合同号∕□划拨决定书编号∕□电子监管号为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），宗地位置为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，面积为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平方米，约定竣工日期为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，土地权利证号</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我方在上述宗地建设了</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开发项目，拟于</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日竣工，满足出让合同（划拨决定书）规定的规划建设条件。请予检查复核。</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特此申报。</w:t>
      </w:r>
    </w:p>
    <w:p>
      <w:pPr>
        <w:spacing w:line="560" w:lineRule="exact"/>
        <w:ind w:right="640"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          联系电话:           ）</w:t>
      </w:r>
    </w:p>
    <w:p>
      <w:pPr>
        <w:spacing w:line="560" w:lineRule="exact"/>
        <w:ind w:right="640"/>
        <w:jc w:val="right"/>
        <w:rPr>
          <w:rFonts w:ascii="Times New Roman" w:hAnsi="Times New Roman" w:eastAsia="方正仿宋简体" w:cs="Times New Roman"/>
          <w:sz w:val="32"/>
          <w:szCs w:val="32"/>
          <w:highlight w:val="none"/>
        </w:rPr>
      </w:pPr>
    </w:p>
    <w:p>
      <w:pPr>
        <w:spacing w:line="560" w:lineRule="exact"/>
        <w:ind w:right="1280"/>
        <w:jc w:val="center"/>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单位（印章）/个人：</w:t>
      </w:r>
    </w:p>
    <w:p>
      <w:pPr>
        <w:spacing w:line="560" w:lineRule="exact"/>
        <w:ind w:right="640" w:firstLine="5920" w:firstLineChars="1850"/>
        <w:rPr>
          <w:rFonts w:ascii="Times New Roman" w:hAnsi="Times New Roman" w:eastAsia="方正仿宋简体" w:cs="Times New Roman"/>
          <w:sz w:val="32"/>
          <w:szCs w:val="32"/>
          <w:highlight w:val="none"/>
        </w:rPr>
      </w:pPr>
    </w:p>
    <w:p>
      <w:pPr>
        <w:spacing w:line="560" w:lineRule="exact"/>
        <w:ind w:right="480" w:firstLine="645"/>
        <w:jc w:val="righ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年  月  日</w:t>
      </w:r>
    </w:p>
    <w:p>
      <w:pPr>
        <w:spacing w:line="560" w:lineRule="exact"/>
        <w:rPr>
          <w:rFonts w:ascii="Times New Roman" w:hAnsi="Times New Roman" w:eastAsia="方正仿宋简体" w:cs="Times New Roman"/>
          <w:b/>
          <w:sz w:val="32"/>
          <w:szCs w:val="32"/>
          <w:highlight w:val="none"/>
        </w:rPr>
      </w:pP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简体" w:cs="Times New Roman"/>
          <w:sz w:val="32"/>
          <w:szCs w:val="32"/>
          <w:highlight w:val="none"/>
        </w:rPr>
        <w:t>注：若无电子监管号，应填写合同号或划拨决定书编号；本申报书由</w:t>
      </w:r>
      <w:r>
        <w:rPr>
          <w:rFonts w:hint="eastAsia" w:ascii="Times New Roman" w:hAnsi="Times New Roman" w:eastAsia="方正仿宋简体" w:cs="Times New Roman"/>
          <w:sz w:val="32"/>
          <w:szCs w:val="32"/>
          <w:highlight w:val="none"/>
        </w:rPr>
        <w:t>资阳市自然资源和规划局临空经济区分局</w:t>
      </w:r>
      <w:r>
        <w:rPr>
          <w:rFonts w:hint="eastAsia" w:ascii="方正仿宋简体" w:hAnsi="方正仿宋简体" w:eastAsia="方正仿宋简体" w:cs="方正仿宋简体"/>
          <w:sz w:val="32"/>
          <w:szCs w:val="32"/>
          <w:highlight w:val="none"/>
        </w:rPr>
        <w:t>负责受理</w:t>
      </w:r>
      <w:r>
        <w:rPr>
          <w:rFonts w:ascii="Times New Roman" w:hAnsi="Times New Roman" w:eastAsia="方正仿宋_GBK" w:cs="Times New Roman"/>
          <w:sz w:val="32"/>
          <w:szCs w:val="32"/>
          <w:highlight w:val="none"/>
        </w:rPr>
        <w:t>。</w:t>
      </w:r>
    </w:p>
    <w:p>
      <w:pPr>
        <w:spacing w:line="540" w:lineRule="exact"/>
        <w:ind w:firstLine="640" w:firstLineChars="200"/>
        <w:rPr>
          <w:rFonts w:ascii="Times New Roman" w:hAnsi="Times New Roman" w:eastAsia="方正仿宋_GBK" w:cs="Times New Roman"/>
          <w:sz w:val="32"/>
          <w:szCs w:val="32"/>
          <w:highlight w:val="none"/>
        </w:rPr>
      </w:pPr>
    </w:p>
    <w:sectPr>
      <w:pgSz w:w="11906" w:h="16838"/>
      <w:pgMar w:top="2098" w:right="1474" w:bottom="1985" w:left="1588" w:header="851" w:footer="1247" w:gutter="0"/>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大标宋_GBK">
    <w:panose1 w:val="03000509000000000000"/>
    <w:charset w:val="86"/>
    <w:family w:val="script"/>
    <w:pitch w:val="default"/>
    <w:sig w:usb0="00000001" w:usb1="080E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宋体-方正超大字符集">
    <w:altName w:val="方正书宋_GBK"/>
    <w:panose1 w:val="03000509000000000000"/>
    <w:charset w:val="86"/>
    <w:family w:val="script"/>
    <w:pitch w:val="default"/>
    <w:sig w:usb0="00000000" w:usb1="00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华文中宋">
    <w:altName w:val="汉仪中宋简"/>
    <w:panose1 w:val="02010600040101010101"/>
    <w:charset w:val="86"/>
    <w:family w:val="auto"/>
    <w:pitch w:val="default"/>
    <w:sig w:usb0="00000000" w:usb1="00000000" w:usb2="00000000" w:usb3="00000000" w:csb0="0004009F" w:csb1="DFD70000"/>
  </w:font>
  <w:font w:name="方正黑体简体">
    <w:panose1 w:val="02010601030101010101"/>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汉仪中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r>
      <w:rPr>
        <w:sz w:val="32"/>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4" name="文本框 10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0"/>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wps:txbx>
                    <wps:bodyPr wrap="none" lIns="0" tIns="0" rIns="0" bIns="0" upright="true">
                      <a:spAutoFit/>
                    </wps:bodyPr>
                  </wps:wsp>
                </a:graphicData>
              </a:graphic>
            </wp:anchor>
          </w:drawing>
        </mc:Choice>
        <mc:Fallback>
          <w:pict>
            <v:shape id="文本框 1031"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Mldk421AQAAVQMAAA4AAAAAAAAAAQAgAAAANAEAAGRycy9lMm9E&#10;b2MueG1sUEsFBgAAAAAGAAYAWQEAAFsFAAAAAA==&#10;">
              <v:fill on="f" focussize="0,0"/>
              <v:stroke on="f"/>
              <v:imagedata o:title=""/>
              <o:lock v:ext="edit" aspectratio="f"/>
              <v:textbox inset="0mm,0mm,0mm,0mm" style="mso-fit-shape-to-text:t;">
                <w:txbxContent>
                  <w:p>
                    <w:pPr>
                      <w:pStyle w:val="10"/>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8306"/>
        <w:tab w:val="clear" w:pos="8307"/>
      </w:tabs>
      <w:ind w:right="360" w:firstLine="360"/>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1" name="文本框 102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33</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wrap="none" lIns="0" tIns="0" rIns="0" bIns="0" upright="true">
                      <a:spAutoFit/>
                    </wps:bodyPr>
                  </wps:wsp>
                </a:graphicData>
              </a:graphic>
            </wp:anchor>
          </w:drawing>
        </mc:Choice>
        <mc:Fallback>
          <w:pict>
            <v:shape id="文本框 1028"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BgwDDy1AQAAVQMAAA4AAAAAAAAAAQAgAAAANAEAAGRycy9lMm9E&#10;b2MueG1sUEsFBgAAAAAGAAYAWQEAAFsFAAAAAA==&#10;">
              <v:fill on="f" focussize="0,0"/>
              <v:stroke on="f"/>
              <v:imagedata o:title=""/>
              <o:lock v:ext="edit" aspectratio="f"/>
              <v:textbox inset="0mm,0mm,0mm,0mm" style="mso-fit-shape-to-text:t;">
                <w:txbxContent>
                  <w:p>
                    <w:pPr>
                      <w:pStyle w:val="1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33</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margin">
                <wp:posOffset>2280285</wp:posOffset>
              </wp:positionH>
              <wp:positionV relativeFrom="paragraph">
                <wp:posOffset>0</wp:posOffset>
              </wp:positionV>
              <wp:extent cx="490855" cy="1828800"/>
              <wp:effectExtent l="0" t="0" r="0" b="0"/>
              <wp:wrapNone/>
              <wp:docPr id="60" name="文本框 60"/>
              <wp:cNvGraphicFramePr/>
              <a:graphic xmlns:a="http://schemas.openxmlformats.org/drawingml/2006/main">
                <a:graphicData uri="http://schemas.microsoft.com/office/word/2010/wordprocessingShape">
                  <wps:wsp>
                    <wps:cNvSpPr txBox="true"/>
                    <wps:spPr>
                      <a:xfrm>
                        <a:off x="0" y="0"/>
                        <a:ext cx="490855" cy="1828800"/>
                      </a:xfrm>
                      <a:prstGeom prst="rect">
                        <a:avLst/>
                      </a:prstGeom>
                      <a:noFill/>
                      <a:ln w="6350">
                        <a:noFill/>
                      </a:ln>
                      <a:effectLst/>
                    </wps:spPr>
                    <wps:txbx>
                      <w:txbxContent>
                        <w:p>
                          <w:pPr>
                            <w:pStyle w:val="10"/>
                            <w:rPr>
                              <w:rFonts w:eastAsia="宋体"/>
                              <w:sz w:val="32"/>
                              <w:szCs w:val="32"/>
                            </w:rPr>
                          </w:pPr>
                        </w:p>
                      </w:txbxContent>
                    </wps:txbx>
                    <wps:bodyPr lIns="0" tIns="0" rIns="0" bIns="0" upright="true">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55168;mso-width-relative:page;mso-height-relative:page;" filled="f" stroked="f" coordsize="21600,21600" o:gfxdata="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jKvuOtcAAAAIAQAADwAAAAAAAAABACAA&#10;AAA4AAAAZHJzL2Rvd25yZXYueG1sUEsBAhQAFAAAAAgAh07iQJLKj/W/AQAAXQMAAA4AAAAAAAAA&#10;AQAgAAAAPAEAAGRycy9lMm9Eb2MueG1sUEsFBgAAAAAGAAYAWQEAAG0FAAAAAA==&#10;">
              <v:fill on="f" focussize="0,0"/>
              <v:stroke on="f" weight="0.5pt"/>
              <v:imagedata o:title=""/>
              <o:lock v:ext="edit" aspectratio="f"/>
              <v:textbox inset="0mm,0mm,0mm,0mm" style="mso-fit-shape-to-text:t;">
                <w:txbxContent>
                  <w:p>
                    <w:pPr>
                      <w:pStyle w:val="10"/>
                      <w:rPr>
                        <w:rFonts w:eastAsia="宋体"/>
                        <w:sz w:val="32"/>
                        <w:szCs w:val="32"/>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8306"/>
        <w:tab w:val="clear" w:pos="8307"/>
      </w:tabs>
      <w:ind w:right="360" w:firstLine="360"/>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2" name="文本框 10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0"/>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50</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wps:txbx>
                    <wps:bodyPr wrap="none" lIns="0" tIns="0" rIns="0" bIns="0" upright="true">
                      <a:spAutoFit/>
                    </wps:bodyPr>
                  </wps:wsp>
                </a:graphicData>
              </a:graphic>
            </wp:anchor>
          </w:drawing>
        </mc:Choice>
        <mc:Fallback>
          <w:pict>
            <v:shape id="文本框 1029"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WAAAAZHJzL1BL&#10;AQIUABQAAAAIAIdO4kDOqXm5zwAAAAUBAAAPAAAAAAAAAAEAIAAAADgAAABkcnMvZG93bnJldi54&#10;bWxQSwECFAAUAAAACACHTuJANseWPLQBAABVAwAADgAAAAAAAAABACAAAAA0AQAAZHJzL2Uyb0Rv&#10;Yy54bWxQSwUGAAAAAAYABgBZAQAAWgUAAAAA&#10;">
              <v:fill on="f" focussize="0,0"/>
              <v:stroke on="f"/>
              <v:imagedata o:title=""/>
              <o:lock v:ext="edit" aspectratio="f"/>
              <v:textbox inset="0mm,0mm,0mm,0mm" style="mso-fit-shape-to-text:t;">
                <w:txbxContent>
                  <w:p>
                    <w:pPr>
                      <w:pStyle w:val="10"/>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50</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2280285</wp:posOffset>
              </wp:positionH>
              <wp:positionV relativeFrom="paragraph">
                <wp:posOffset>0</wp:posOffset>
              </wp:positionV>
              <wp:extent cx="490855" cy="1828800"/>
              <wp:effectExtent l="0" t="0" r="0" b="0"/>
              <wp:wrapNone/>
              <wp:docPr id="58" name="文本框 58"/>
              <wp:cNvGraphicFramePr/>
              <a:graphic xmlns:a="http://schemas.openxmlformats.org/drawingml/2006/main">
                <a:graphicData uri="http://schemas.microsoft.com/office/word/2010/wordprocessingShape">
                  <wps:wsp>
                    <wps:cNvSpPr txBox="true"/>
                    <wps:spPr>
                      <a:xfrm>
                        <a:off x="0" y="0"/>
                        <a:ext cx="490855" cy="1828800"/>
                      </a:xfrm>
                      <a:prstGeom prst="rect">
                        <a:avLst/>
                      </a:prstGeom>
                      <a:noFill/>
                      <a:ln w="6350">
                        <a:noFill/>
                      </a:ln>
                      <a:effectLst/>
                    </wps:spPr>
                    <wps:txbx>
                      <w:txbxContent>
                        <w:p>
                          <w:pPr>
                            <w:pStyle w:val="10"/>
                            <w:rPr>
                              <w:sz w:val="32"/>
                              <w:szCs w:val="32"/>
                            </w:rPr>
                          </w:pPr>
                        </w:p>
                      </w:txbxContent>
                    </wps:txbx>
                    <wps:bodyPr rot="0" spcFirstLastPara="0" vertOverflow="overflow" horzOverflow="overflow" vert="horz" wrap="squar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59264;mso-width-relative:page;mso-height-relative:page;" filled="f" stroked="f" coordsize="21600,21600" o:gfxdata="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jKvuOtcAAAAIAQAADwAAAAAAAAABACAAAAA4AAAAZHJzL2Rv&#10;d25yZXYueG1sUEsBAhQAFAAAAAgAh07iQNNFV3IlAgAAKgQAAA4AAAAAAAAAAQAgAAAAPAEAAGRy&#10;cy9lMm9Eb2MueG1sUEsFBgAAAAAGAAYAWQEAANMFAAAAAA==&#10;">
              <v:fill on="f" focussize="0,0"/>
              <v:stroke on="f" weight="0.5pt"/>
              <v:imagedata o:title=""/>
              <o:lock v:ext="edit" aspectratio="f"/>
              <v:textbox inset="0mm,0mm,0mm,0mm" style="mso-fit-shape-to-text:t;">
                <w:txbxContent>
                  <w:p>
                    <w:pPr>
                      <w:pStyle w:val="10"/>
                      <w:rPr>
                        <w:sz w:val="32"/>
                        <w:szCs w:val="32"/>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8306"/>
        <w:tab w:val="clear" w:pos="8307"/>
      </w:tabs>
      <w:ind w:right="360" w:firstLine="360"/>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3" name="文本框 103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0"/>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59</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wps:txbx>
                    <wps:bodyPr wrap="none" lIns="0" tIns="0" rIns="0" bIns="0" upright="true">
                      <a:spAutoFit/>
                    </wps:bodyPr>
                  </wps:wsp>
                </a:graphicData>
              </a:graphic>
            </wp:anchor>
          </w:drawing>
        </mc:Choice>
        <mc:Fallback>
          <w:pict>
            <v:shape id="文本框 1030"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WAAAAZHJzL1BL&#10;AQIUABQAAAAIAIdO4kDOqXm5zwAAAAUBAAAPAAAAAAAAAAEAIAAAADgAAABkcnMvZG93bnJldi54&#10;bWxQSwECFAAUAAAACACHTuJAMnivkbQBAABVAwAADgAAAAAAAAABACAAAAA0AQAAZHJzL2Uyb0Rv&#10;Yy54bWxQSwUGAAAAAAYABgBZAQAAWgUAAAAA&#10;">
              <v:fill on="f" focussize="0,0"/>
              <v:stroke on="f"/>
              <v:imagedata o:title=""/>
              <o:lock v:ext="edit" aspectratio="f"/>
              <v:textbox inset="0mm,0mm,0mm,0mm" style="mso-fit-shape-to-text:t;">
                <w:txbxContent>
                  <w:p>
                    <w:pPr>
                      <w:pStyle w:val="10"/>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59</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2280285</wp:posOffset>
              </wp:positionH>
              <wp:positionV relativeFrom="paragraph">
                <wp:posOffset>0</wp:posOffset>
              </wp:positionV>
              <wp:extent cx="490855" cy="1828800"/>
              <wp:effectExtent l="0" t="0" r="0" b="0"/>
              <wp:wrapNone/>
              <wp:docPr id="59" name="文本框 58"/>
              <wp:cNvGraphicFramePr/>
              <a:graphic xmlns:a="http://schemas.openxmlformats.org/drawingml/2006/main">
                <a:graphicData uri="http://schemas.microsoft.com/office/word/2010/wordprocessingShape">
                  <wps:wsp>
                    <wps:cNvSpPr txBox="true"/>
                    <wps:spPr>
                      <a:xfrm>
                        <a:off x="0" y="0"/>
                        <a:ext cx="490855" cy="1828800"/>
                      </a:xfrm>
                      <a:prstGeom prst="rect">
                        <a:avLst/>
                      </a:prstGeom>
                      <a:noFill/>
                      <a:ln w="6350">
                        <a:noFill/>
                      </a:ln>
                      <a:effectLst/>
                    </wps:spPr>
                    <wps:txbx>
                      <w:txbxContent>
                        <w:p>
                          <w:pPr>
                            <w:pStyle w:val="10"/>
                            <w:rPr>
                              <w:sz w:val="32"/>
                              <w:szCs w:val="32"/>
                            </w:rPr>
                          </w:pPr>
                        </w:p>
                      </w:txbxContent>
                    </wps:txbx>
                    <wps:bodyPr rot="0" spcFirstLastPara="0" vertOverflow="overflow" horzOverflow="overflow" vert="horz" wrap="square" lIns="0" tIns="0" rIns="0" bIns="0" numCol="1" spcCol="0" rtlCol="0" fromWordArt="false" anchor="t" anchorCtr="false" forceAA="false" compatLnSpc="true">
                      <a:spAutoFit/>
                    </wps:bodyPr>
                  </wps:wsp>
                </a:graphicData>
              </a:graphic>
            </wp:anchor>
          </w:drawing>
        </mc:Choice>
        <mc:Fallback>
          <w:pict>
            <v:shape id="文本框 58" o:spid="_x0000_s1026" o:spt="202" type="#_x0000_t202" style="position:absolute;left:0pt;margin-left:179.55pt;margin-top:0pt;height:144pt;width:38.65pt;mso-position-horizontal-relative:margin;z-index:251660288;mso-width-relative:page;mso-height-relative:page;" filled="f" stroked="f" coordsize="21600,21600" o:gfxdata="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Iyr7jrXAAAACAEAAA8AAAAAAAAAAQAgAAAAOAAAAGRycy9k&#10;b3ducmV2LnhtbFBLAQIUABQAAAAIAIdO4kDkxkq0JgIAACoEAAAOAAAAAAAAAAEAIAAAADwBAABk&#10;cnMvZTJvRG9jLnhtbFBLBQYAAAAABgAGAFkBAADUBQAAAAA=&#10;">
              <v:fill on="f" focussize="0,0"/>
              <v:stroke on="f" weight="0.5pt"/>
              <v:imagedata o:title=""/>
              <o:lock v:ext="edit" aspectratio="f"/>
              <v:textbox inset="0mm,0mm,0mm,0mm" style="mso-fit-shape-to-text:t;">
                <w:txbxContent>
                  <w:p>
                    <w:pPr>
                      <w:pStyle w:val="10"/>
                      <w:rPr>
                        <w:sz w:val="32"/>
                        <w:szCs w:val="32"/>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E0192A"/>
    <w:multiLevelType w:val="singleLevel"/>
    <w:tmpl w:val="FDE0192A"/>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true"/>
  <w:bordersDoNotSurroundFooter w:val="true"/>
  <w:documentProtection w:enforcement="0"/>
  <w:defaultTabStop w:val="420"/>
  <w:drawingGridHorizontalSpacing w:val="105"/>
  <w:drawingGridVerticalSpacing w:val="159"/>
  <w:displayHorizontalDrawingGridEvery w:val="2"/>
  <w:noPunctuationKerning w:val="true"/>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yYzgxYmEyNjYzNTMyNjUyOGVkNzkzZDg5ODFjOTMifQ=="/>
  </w:docVars>
  <w:rsids>
    <w:rsidRoot w:val="00172A27"/>
    <w:rsid w:val="0008069C"/>
    <w:rsid w:val="00091DA6"/>
    <w:rsid w:val="000A2C6D"/>
    <w:rsid w:val="000A50E5"/>
    <w:rsid w:val="000D632E"/>
    <w:rsid w:val="000F013D"/>
    <w:rsid w:val="00100D87"/>
    <w:rsid w:val="00102B2E"/>
    <w:rsid w:val="001120BB"/>
    <w:rsid w:val="00137562"/>
    <w:rsid w:val="00170B00"/>
    <w:rsid w:val="00172A27"/>
    <w:rsid w:val="00175615"/>
    <w:rsid w:val="001A02DE"/>
    <w:rsid w:val="00210DDF"/>
    <w:rsid w:val="00215F57"/>
    <w:rsid w:val="00236BA7"/>
    <w:rsid w:val="002E3E85"/>
    <w:rsid w:val="003070B4"/>
    <w:rsid w:val="0031007C"/>
    <w:rsid w:val="00325D2C"/>
    <w:rsid w:val="003625D9"/>
    <w:rsid w:val="00364451"/>
    <w:rsid w:val="0037214B"/>
    <w:rsid w:val="00375C21"/>
    <w:rsid w:val="0038512D"/>
    <w:rsid w:val="003A5E56"/>
    <w:rsid w:val="003B40FF"/>
    <w:rsid w:val="003C0A9F"/>
    <w:rsid w:val="003C5706"/>
    <w:rsid w:val="003E4523"/>
    <w:rsid w:val="003F7CD8"/>
    <w:rsid w:val="004078E4"/>
    <w:rsid w:val="00436356"/>
    <w:rsid w:val="00442D84"/>
    <w:rsid w:val="00444486"/>
    <w:rsid w:val="0049571F"/>
    <w:rsid w:val="004C60A1"/>
    <w:rsid w:val="004F00BE"/>
    <w:rsid w:val="005420C6"/>
    <w:rsid w:val="00552940"/>
    <w:rsid w:val="00586BF4"/>
    <w:rsid w:val="00636F4A"/>
    <w:rsid w:val="006404FA"/>
    <w:rsid w:val="00674A9F"/>
    <w:rsid w:val="006C1409"/>
    <w:rsid w:val="006C2205"/>
    <w:rsid w:val="006E321E"/>
    <w:rsid w:val="007332B5"/>
    <w:rsid w:val="0073503B"/>
    <w:rsid w:val="00754531"/>
    <w:rsid w:val="00792573"/>
    <w:rsid w:val="007B459E"/>
    <w:rsid w:val="007E249E"/>
    <w:rsid w:val="00803FED"/>
    <w:rsid w:val="0081576F"/>
    <w:rsid w:val="00822214"/>
    <w:rsid w:val="00857D4F"/>
    <w:rsid w:val="00863A33"/>
    <w:rsid w:val="008D7ABD"/>
    <w:rsid w:val="008E1BF1"/>
    <w:rsid w:val="0093696D"/>
    <w:rsid w:val="009A0F97"/>
    <w:rsid w:val="009C3562"/>
    <w:rsid w:val="009D22B4"/>
    <w:rsid w:val="00A506FC"/>
    <w:rsid w:val="00A6228F"/>
    <w:rsid w:val="00AA2034"/>
    <w:rsid w:val="00AA66FA"/>
    <w:rsid w:val="00B06677"/>
    <w:rsid w:val="00B20EAD"/>
    <w:rsid w:val="00B34436"/>
    <w:rsid w:val="00B64EFA"/>
    <w:rsid w:val="00B66B36"/>
    <w:rsid w:val="00BB412F"/>
    <w:rsid w:val="00C01AFF"/>
    <w:rsid w:val="00C367A8"/>
    <w:rsid w:val="00CA561E"/>
    <w:rsid w:val="00CD2B1E"/>
    <w:rsid w:val="00CD6D88"/>
    <w:rsid w:val="00CE2F4C"/>
    <w:rsid w:val="00CF4DD9"/>
    <w:rsid w:val="00D15985"/>
    <w:rsid w:val="00D31732"/>
    <w:rsid w:val="00D75E15"/>
    <w:rsid w:val="00D76D93"/>
    <w:rsid w:val="00DA7597"/>
    <w:rsid w:val="00E44B5B"/>
    <w:rsid w:val="00EB08B3"/>
    <w:rsid w:val="00ED0919"/>
    <w:rsid w:val="00EE1483"/>
    <w:rsid w:val="00F54E10"/>
    <w:rsid w:val="00F752D8"/>
    <w:rsid w:val="00F7591E"/>
    <w:rsid w:val="00F83144"/>
    <w:rsid w:val="00FE268E"/>
    <w:rsid w:val="012A4639"/>
    <w:rsid w:val="019E0AB5"/>
    <w:rsid w:val="01DC08EB"/>
    <w:rsid w:val="02B53B95"/>
    <w:rsid w:val="0319318F"/>
    <w:rsid w:val="033D15A5"/>
    <w:rsid w:val="03432E3E"/>
    <w:rsid w:val="03B11A6E"/>
    <w:rsid w:val="04323E42"/>
    <w:rsid w:val="04434617"/>
    <w:rsid w:val="045F4B61"/>
    <w:rsid w:val="049B7404"/>
    <w:rsid w:val="04A437E5"/>
    <w:rsid w:val="05166343"/>
    <w:rsid w:val="05223EAB"/>
    <w:rsid w:val="05C32468"/>
    <w:rsid w:val="06712C2B"/>
    <w:rsid w:val="06890202"/>
    <w:rsid w:val="06E10A1C"/>
    <w:rsid w:val="072E68BA"/>
    <w:rsid w:val="07363845"/>
    <w:rsid w:val="073E4B40"/>
    <w:rsid w:val="07434224"/>
    <w:rsid w:val="086E5C51"/>
    <w:rsid w:val="08903E65"/>
    <w:rsid w:val="08C324E2"/>
    <w:rsid w:val="08CD6195"/>
    <w:rsid w:val="09F316F4"/>
    <w:rsid w:val="0A0916FD"/>
    <w:rsid w:val="0A1B2FAF"/>
    <w:rsid w:val="0A4E1232"/>
    <w:rsid w:val="0A682355"/>
    <w:rsid w:val="0AB03247"/>
    <w:rsid w:val="0B05117D"/>
    <w:rsid w:val="0B8178DC"/>
    <w:rsid w:val="0BA45F32"/>
    <w:rsid w:val="0BC02F44"/>
    <w:rsid w:val="0C772603"/>
    <w:rsid w:val="0D8F51A6"/>
    <w:rsid w:val="0DC43A7D"/>
    <w:rsid w:val="0DFE8E62"/>
    <w:rsid w:val="0EC840E3"/>
    <w:rsid w:val="0F323244"/>
    <w:rsid w:val="0F3A7007"/>
    <w:rsid w:val="0F6C778D"/>
    <w:rsid w:val="101D5024"/>
    <w:rsid w:val="103C1609"/>
    <w:rsid w:val="10555417"/>
    <w:rsid w:val="10A200C5"/>
    <w:rsid w:val="10FD195B"/>
    <w:rsid w:val="11D17021"/>
    <w:rsid w:val="11D4186A"/>
    <w:rsid w:val="12325183"/>
    <w:rsid w:val="125C26A9"/>
    <w:rsid w:val="12E11B5F"/>
    <w:rsid w:val="12EA3ACB"/>
    <w:rsid w:val="137D3BC7"/>
    <w:rsid w:val="13AF336C"/>
    <w:rsid w:val="1401693C"/>
    <w:rsid w:val="140A64C9"/>
    <w:rsid w:val="14A549B5"/>
    <w:rsid w:val="14CD4145"/>
    <w:rsid w:val="14D0486B"/>
    <w:rsid w:val="152E2BF3"/>
    <w:rsid w:val="15DE6D57"/>
    <w:rsid w:val="15E467CF"/>
    <w:rsid w:val="15F0301A"/>
    <w:rsid w:val="164A0B63"/>
    <w:rsid w:val="16B14223"/>
    <w:rsid w:val="16BF07AB"/>
    <w:rsid w:val="178A7284"/>
    <w:rsid w:val="17FCD12D"/>
    <w:rsid w:val="181A6880"/>
    <w:rsid w:val="18CF184A"/>
    <w:rsid w:val="18E8546C"/>
    <w:rsid w:val="19110C10"/>
    <w:rsid w:val="194B60BD"/>
    <w:rsid w:val="196A7274"/>
    <w:rsid w:val="1992226D"/>
    <w:rsid w:val="19EB3F38"/>
    <w:rsid w:val="1A2D12C7"/>
    <w:rsid w:val="1A484748"/>
    <w:rsid w:val="1A4A6EDE"/>
    <w:rsid w:val="1A6D6957"/>
    <w:rsid w:val="1A89389B"/>
    <w:rsid w:val="1AC84EB6"/>
    <w:rsid w:val="1B2171A9"/>
    <w:rsid w:val="1C054334"/>
    <w:rsid w:val="1C0F262D"/>
    <w:rsid w:val="1C143E08"/>
    <w:rsid w:val="1C361F7F"/>
    <w:rsid w:val="1D4C3D0C"/>
    <w:rsid w:val="1E7932DE"/>
    <w:rsid w:val="1EF91BEB"/>
    <w:rsid w:val="1F15500B"/>
    <w:rsid w:val="1F2F77E2"/>
    <w:rsid w:val="204573F6"/>
    <w:rsid w:val="205A5788"/>
    <w:rsid w:val="213A186F"/>
    <w:rsid w:val="214D26F3"/>
    <w:rsid w:val="21715384"/>
    <w:rsid w:val="219E7772"/>
    <w:rsid w:val="228626E9"/>
    <w:rsid w:val="229D2371"/>
    <w:rsid w:val="23395A15"/>
    <w:rsid w:val="24586E6C"/>
    <w:rsid w:val="25944145"/>
    <w:rsid w:val="26201221"/>
    <w:rsid w:val="26FF76C5"/>
    <w:rsid w:val="277A2A38"/>
    <w:rsid w:val="277C3C5C"/>
    <w:rsid w:val="27BC005A"/>
    <w:rsid w:val="285A5039"/>
    <w:rsid w:val="29227EFE"/>
    <w:rsid w:val="29D03B8D"/>
    <w:rsid w:val="29E04986"/>
    <w:rsid w:val="2A3A6253"/>
    <w:rsid w:val="2A656D7D"/>
    <w:rsid w:val="2A691DF9"/>
    <w:rsid w:val="2AAA2AA3"/>
    <w:rsid w:val="2B5B134B"/>
    <w:rsid w:val="2BD46A50"/>
    <w:rsid w:val="2BEA15FD"/>
    <w:rsid w:val="2C0F5291"/>
    <w:rsid w:val="2D290A27"/>
    <w:rsid w:val="2D6E1748"/>
    <w:rsid w:val="2DA540AE"/>
    <w:rsid w:val="2DBF488D"/>
    <w:rsid w:val="2DEE1CBC"/>
    <w:rsid w:val="2E21468D"/>
    <w:rsid w:val="2E3106B5"/>
    <w:rsid w:val="2E910D3D"/>
    <w:rsid w:val="2E963679"/>
    <w:rsid w:val="2EB047D5"/>
    <w:rsid w:val="2F570257"/>
    <w:rsid w:val="2F87BD38"/>
    <w:rsid w:val="2FA66841"/>
    <w:rsid w:val="2FB749DD"/>
    <w:rsid w:val="2FE76B46"/>
    <w:rsid w:val="2FF7B9DA"/>
    <w:rsid w:val="304E6A09"/>
    <w:rsid w:val="305B49B1"/>
    <w:rsid w:val="309E6102"/>
    <w:rsid w:val="31126289"/>
    <w:rsid w:val="316F3118"/>
    <w:rsid w:val="318D048C"/>
    <w:rsid w:val="31B363F2"/>
    <w:rsid w:val="31CE5EA7"/>
    <w:rsid w:val="31F053D5"/>
    <w:rsid w:val="32380FC4"/>
    <w:rsid w:val="323834C9"/>
    <w:rsid w:val="32386057"/>
    <w:rsid w:val="33D549C7"/>
    <w:rsid w:val="33EA5794"/>
    <w:rsid w:val="34470DCB"/>
    <w:rsid w:val="345D7BA2"/>
    <w:rsid w:val="349F4971"/>
    <w:rsid w:val="34A119AC"/>
    <w:rsid w:val="34B63049"/>
    <w:rsid w:val="34BC7DD9"/>
    <w:rsid w:val="353916E8"/>
    <w:rsid w:val="35B73B02"/>
    <w:rsid w:val="35D640FC"/>
    <w:rsid w:val="36292A74"/>
    <w:rsid w:val="3661648B"/>
    <w:rsid w:val="366E3081"/>
    <w:rsid w:val="36D76816"/>
    <w:rsid w:val="36E243ED"/>
    <w:rsid w:val="37447F96"/>
    <w:rsid w:val="3759FE1F"/>
    <w:rsid w:val="37691F23"/>
    <w:rsid w:val="37FF8AC8"/>
    <w:rsid w:val="384F44A3"/>
    <w:rsid w:val="388A11DD"/>
    <w:rsid w:val="38BE508B"/>
    <w:rsid w:val="38C27544"/>
    <w:rsid w:val="38D82B02"/>
    <w:rsid w:val="38E17A72"/>
    <w:rsid w:val="39753CC0"/>
    <w:rsid w:val="399A7818"/>
    <w:rsid w:val="39B92079"/>
    <w:rsid w:val="3A3FA479"/>
    <w:rsid w:val="3ABD64F2"/>
    <w:rsid w:val="3B2D2261"/>
    <w:rsid w:val="3B424300"/>
    <w:rsid w:val="3B671F93"/>
    <w:rsid w:val="3BAF53DD"/>
    <w:rsid w:val="3BC50935"/>
    <w:rsid w:val="3BEFF89A"/>
    <w:rsid w:val="3BF916E9"/>
    <w:rsid w:val="3C075AF9"/>
    <w:rsid w:val="3C6A6EC8"/>
    <w:rsid w:val="3CCF29BA"/>
    <w:rsid w:val="3D373188"/>
    <w:rsid w:val="3D374E99"/>
    <w:rsid w:val="3D5F170C"/>
    <w:rsid w:val="3D7F1BF3"/>
    <w:rsid w:val="3D922B10"/>
    <w:rsid w:val="3DEE46A0"/>
    <w:rsid w:val="3E3B1346"/>
    <w:rsid w:val="3EBD0753"/>
    <w:rsid w:val="3F1425EA"/>
    <w:rsid w:val="3F1F2EA5"/>
    <w:rsid w:val="3F26191C"/>
    <w:rsid w:val="3F2C23CF"/>
    <w:rsid w:val="3F6043CA"/>
    <w:rsid w:val="3FBD1927"/>
    <w:rsid w:val="3FDBC72D"/>
    <w:rsid w:val="3FF118A2"/>
    <w:rsid w:val="3FFD792E"/>
    <w:rsid w:val="407A0CFF"/>
    <w:rsid w:val="40A10FAF"/>
    <w:rsid w:val="40E21A4F"/>
    <w:rsid w:val="40F60558"/>
    <w:rsid w:val="41C84A46"/>
    <w:rsid w:val="428D5A70"/>
    <w:rsid w:val="42D631D8"/>
    <w:rsid w:val="42DE7E6D"/>
    <w:rsid w:val="433D2947"/>
    <w:rsid w:val="43A64DBC"/>
    <w:rsid w:val="450733AA"/>
    <w:rsid w:val="4537133E"/>
    <w:rsid w:val="45692B0E"/>
    <w:rsid w:val="45D96987"/>
    <w:rsid w:val="476C351D"/>
    <w:rsid w:val="47C86E18"/>
    <w:rsid w:val="47E7DA28"/>
    <w:rsid w:val="47EB2680"/>
    <w:rsid w:val="4868346F"/>
    <w:rsid w:val="488B0BC7"/>
    <w:rsid w:val="48B30A29"/>
    <w:rsid w:val="48F01024"/>
    <w:rsid w:val="492C019E"/>
    <w:rsid w:val="497B6B5D"/>
    <w:rsid w:val="497F0D61"/>
    <w:rsid w:val="498855CA"/>
    <w:rsid w:val="4A033ECA"/>
    <w:rsid w:val="4A346C67"/>
    <w:rsid w:val="4B5B8DEC"/>
    <w:rsid w:val="4BB5373E"/>
    <w:rsid w:val="4BE22D0E"/>
    <w:rsid w:val="4C5E7885"/>
    <w:rsid w:val="4C622F2C"/>
    <w:rsid w:val="4C9A30DB"/>
    <w:rsid w:val="4CBE2E0F"/>
    <w:rsid w:val="4D237994"/>
    <w:rsid w:val="4D7B1E73"/>
    <w:rsid w:val="4DB92ED8"/>
    <w:rsid w:val="4DD574E3"/>
    <w:rsid w:val="4E5D7C66"/>
    <w:rsid w:val="4E8D2AA5"/>
    <w:rsid w:val="4F2F61A2"/>
    <w:rsid w:val="4F906074"/>
    <w:rsid w:val="50546973"/>
    <w:rsid w:val="5079029A"/>
    <w:rsid w:val="50CF4029"/>
    <w:rsid w:val="51021CED"/>
    <w:rsid w:val="51492C4E"/>
    <w:rsid w:val="51E47483"/>
    <w:rsid w:val="51F9197C"/>
    <w:rsid w:val="523C1AE0"/>
    <w:rsid w:val="52585BDE"/>
    <w:rsid w:val="52CA2EA2"/>
    <w:rsid w:val="53D34F43"/>
    <w:rsid w:val="53E51F49"/>
    <w:rsid w:val="54EB48FE"/>
    <w:rsid w:val="55000CA2"/>
    <w:rsid w:val="55043285"/>
    <w:rsid w:val="551801E2"/>
    <w:rsid w:val="556FBAE1"/>
    <w:rsid w:val="5587228D"/>
    <w:rsid w:val="55965B1D"/>
    <w:rsid w:val="55D54AF2"/>
    <w:rsid w:val="5606733F"/>
    <w:rsid w:val="56B67075"/>
    <w:rsid w:val="572537DC"/>
    <w:rsid w:val="57C5392E"/>
    <w:rsid w:val="57D302D3"/>
    <w:rsid w:val="581747CA"/>
    <w:rsid w:val="58932706"/>
    <w:rsid w:val="589D30F9"/>
    <w:rsid w:val="58EE5BC3"/>
    <w:rsid w:val="590D7DD1"/>
    <w:rsid w:val="59522769"/>
    <w:rsid w:val="59BC1125"/>
    <w:rsid w:val="5A437433"/>
    <w:rsid w:val="5A501C17"/>
    <w:rsid w:val="5AD7EC0D"/>
    <w:rsid w:val="5B7E774B"/>
    <w:rsid w:val="5B932E41"/>
    <w:rsid w:val="5C980617"/>
    <w:rsid w:val="5CFE119C"/>
    <w:rsid w:val="5D7725CE"/>
    <w:rsid w:val="5D9E45EF"/>
    <w:rsid w:val="5E097C13"/>
    <w:rsid w:val="5E0B6CC6"/>
    <w:rsid w:val="5E5B2D2B"/>
    <w:rsid w:val="5E913962"/>
    <w:rsid w:val="5EB04E46"/>
    <w:rsid w:val="5EBD406C"/>
    <w:rsid w:val="5EC80732"/>
    <w:rsid w:val="5F394EFF"/>
    <w:rsid w:val="5F7B61FB"/>
    <w:rsid w:val="5F7F111B"/>
    <w:rsid w:val="5F7FDFCE"/>
    <w:rsid w:val="5FCE4ED5"/>
    <w:rsid w:val="5FF10494"/>
    <w:rsid w:val="60852E0D"/>
    <w:rsid w:val="61107E46"/>
    <w:rsid w:val="61804CE2"/>
    <w:rsid w:val="619D5B57"/>
    <w:rsid w:val="6204504D"/>
    <w:rsid w:val="62282E0F"/>
    <w:rsid w:val="622D411D"/>
    <w:rsid w:val="6253015D"/>
    <w:rsid w:val="628C31EE"/>
    <w:rsid w:val="62DA669A"/>
    <w:rsid w:val="632F0D7E"/>
    <w:rsid w:val="643F813F"/>
    <w:rsid w:val="648D0117"/>
    <w:rsid w:val="64B86AF8"/>
    <w:rsid w:val="654935A8"/>
    <w:rsid w:val="65552BA6"/>
    <w:rsid w:val="657816E4"/>
    <w:rsid w:val="65D30E7C"/>
    <w:rsid w:val="66520032"/>
    <w:rsid w:val="67557BF5"/>
    <w:rsid w:val="678B4D24"/>
    <w:rsid w:val="67F33C3C"/>
    <w:rsid w:val="685D0898"/>
    <w:rsid w:val="68AE2ABF"/>
    <w:rsid w:val="68E959FC"/>
    <w:rsid w:val="69124F7B"/>
    <w:rsid w:val="698645B9"/>
    <w:rsid w:val="6A3F7592"/>
    <w:rsid w:val="6AB55B5F"/>
    <w:rsid w:val="6B537A12"/>
    <w:rsid w:val="6BB76070"/>
    <w:rsid w:val="6BBBF36C"/>
    <w:rsid w:val="6BC93475"/>
    <w:rsid w:val="6C15382E"/>
    <w:rsid w:val="6D365154"/>
    <w:rsid w:val="6D3F6373"/>
    <w:rsid w:val="6D535020"/>
    <w:rsid w:val="6D7127EB"/>
    <w:rsid w:val="6D7853EC"/>
    <w:rsid w:val="6D8E05E5"/>
    <w:rsid w:val="6E011F21"/>
    <w:rsid w:val="6E436C22"/>
    <w:rsid w:val="6EF3A05F"/>
    <w:rsid w:val="6F4611FD"/>
    <w:rsid w:val="6FB3A9D3"/>
    <w:rsid w:val="6FB7BBEB"/>
    <w:rsid w:val="6FFB705D"/>
    <w:rsid w:val="70022154"/>
    <w:rsid w:val="7088294D"/>
    <w:rsid w:val="711452E2"/>
    <w:rsid w:val="716852AB"/>
    <w:rsid w:val="717E6912"/>
    <w:rsid w:val="71B76118"/>
    <w:rsid w:val="726A3044"/>
    <w:rsid w:val="727B4237"/>
    <w:rsid w:val="7305058F"/>
    <w:rsid w:val="730B47E7"/>
    <w:rsid w:val="731170BE"/>
    <w:rsid w:val="7317612E"/>
    <w:rsid w:val="733F402A"/>
    <w:rsid w:val="736B1D51"/>
    <w:rsid w:val="73F416A6"/>
    <w:rsid w:val="74410821"/>
    <w:rsid w:val="746D16BD"/>
    <w:rsid w:val="75070E43"/>
    <w:rsid w:val="75074A60"/>
    <w:rsid w:val="753D72E7"/>
    <w:rsid w:val="75657D30"/>
    <w:rsid w:val="7594232B"/>
    <w:rsid w:val="75E7CE30"/>
    <w:rsid w:val="762B1A89"/>
    <w:rsid w:val="762E57DF"/>
    <w:rsid w:val="764A4BE4"/>
    <w:rsid w:val="76FB05AC"/>
    <w:rsid w:val="771A2DAA"/>
    <w:rsid w:val="774F6867"/>
    <w:rsid w:val="77A9796A"/>
    <w:rsid w:val="77CED6AF"/>
    <w:rsid w:val="77F91A9B"/>
    <w:rsid w:val="785D5961"/>
    <w:rsid w:val="78D5104B"/>
    <w:rsid w:val="79A45941"/>
    <w:rsid w:val="7A5E3A84"/>
    <w:rsid w:val="7ACA3932"/>
    <w:rsid w:val="7B0A6230"/>
    <w:rsid w:val="7B6A1B26"/>
    <w:rsid w:val="7B7D50D0"/>
    <w:rsid w:val="7BB51F6D"/>
    <w:rsid w:val="7BD458BE"/>
    <w:rsid w:val="7BEEC24E"/>
    <w:rsid w:val="7BFBEA65"/>
    <w:rsid w:val="7BFF8D24"/>
    <w:rsid w:val="7C73579F"/>
    <w:rsid w:val="7CB5C4EA"/>
    <w:rsid w:val="7CBB3E95"/>
    <w:rsid w:val="7D352B65"/>
    <w:rsid w:val="7D5E03A2"/>
    <w:rsid w:val="7DCCD272"/>
    <w:rsid w:val="7DFF3B1E"/>
    <w:rsid w:val="7EAE5CD2"/>
    <w:rsid w:val="7ED018C5"/>
    <w:rsid w:val="7EE2731A"/>
    <w:rsid w:val="7F46764B"/>
    <w:rsid w:val="7F5F20F6"/>
    <w:rsid w:val="7F7F0A76"/>
    <w:rsid w:val="7F9F8CD6"/>
    <w:rsid w:val="7FB59DD2"/>
    <w:rsid w:val="7FBBFDAC"/>
    <w:rsid w:val="7FD75C8E"/>
    <w:rsid w:val="7FDBA361"/>
    <w:rsid w:val="7FE221AE"/>
    <w:rsid w:val="7FED9448"/>
    <w:rsid w:val="7FF712E0"/>
    <w:rsid w:val="7FF7DA86"/>
    <w:rsid w:val="7FFBEA47"/>
    <w:rsid w:val="7FFE4C5D"/>
    <w:rsid w:val="7FFFE2E3"/>
    <w:rsid w:val="8BFF4DE9"/>
    <w:rsid w:val="93BF315B"/>
    <w:rsid w:val="979F4ACC"/>
    <w:rsid w:val="9EFB999E"/>
    <w:rsid w:val="9EFE8003"/>
    <w:rsid w:val="A5EF4F21"/>
    <w:rsid w:val="ACEF3F76"/>
    <w:rsid w:val="B267DED6"/>
    <w:rsid w:val="B3FFF75A"/>
    <w:rsid w:val="BEBEF507"/>
    <w:rsid w:val="BEFFDCB2"/>
    <w:rsid w:val="BF5D2037"/>
    <w:rsid w:val="BFDE5340"/>
    <w:rsid w:val="BFF7E61F"/>
    <w:rsid w:val="BFFD7C2E"/>
    <w:rsid w:val="BFFDB3C0"/>
    <w:rsid w:val="C5BE660E"/>
    <w:rsid w:val="C9FF4B3C"/>
    <w:rsid w:val="CFEBA627"/>
    <w:rsid w:val="D2FF5154"/>
    <w:rsid w:val="D7FF8226"/>
    <w:rsid w:val="DA3B48AD"/>
    <w:rsid w:val="DBFF813C"/>
    <w:rsid w:val="DC4E72F6"/>
    <w:rsid w:val="DD7D1124"/>
    <w:rsid w:val="DEFDB877"/>
    <w:rsid w:val="DF6FE016"/>
    <w:rsid w:val="DF7D4F9F"/>
    <w:rsid w:val="DF9D899F"/>
    <w:rsid w:val="DFDF408B"/>
    <w:rsid w:val="E77DB461"/>
    <w:rsid w:val="E7971915"/>
    <w:rsid w:val="E7F88999"/>
    <w:rsid w:val="E9FDAC0B"/>
    <w:rsid w:val="EACF1DAD"/>
    <w:rsid w:val="EB6B4078"/>
    <w:rsid w:val="EE5BCA1B"/>
    <w:rsid w:val="EF7B11EC"/>
    <w:rsid w:val="EFB84997"/>
    <w:rsid w:val="EFFF0833"/>
    <w:rsid w:val="F3CE05E4"/>
    <w:rsid w:val="F3D65BF3"/>
    <w:rsid w:val="F5A3368D"/>
    <w:rsid w:val="F5F6380E"/>
    <w:rsid w:val="F62E4FF5"/>
    <w:rsid w:val="F6DE4B06"/>
    <w:rsid w:val="F73EB770"/>
    <w:rsid w:val="F7638640"/>
    <w:rsid w:val="F7BFCEA8"/>
    <w:rsid w:val="F7F30231"/>
    <w:rsid w:val="F7F81279"/>
    <w:rsid w:val="F7FFF4D1"/>
    <w:rsid w:val="F8BFFB9E"/>
    <w:rsid w:val="F8F3EC2D"/>
    <w:rsid w:val="FB7B267A"/>
    <w:rsid w:val="FB7F7969"/>
    <w:rsid w:val="FBE377A9"/>
    <w:rsid w:val="FC385183"/>
    <w:rsid w:val="FC9FBF00"/>
    <w:rsid w:val="FCDA3EF5"/>
    <w:rsid w:val="FCDDEEAB"/>
    <w:rsid w:val="FDBEFC3B"/>
    <w:rsid w:val="FDFFABC2"/>
    <w:rsid w:val="FEBBB8A3"/>
    <w:rsid w:val="FECF49C1"/>
    <w:rsid w:val="FEEDEC87"/>
    <w:rsid w:val="FEF1B8CC"/>
    <w:rsid w:val="FEFD9946"/>
    <w:rsid w:val="FF7FFCE8"/>
    <w:rsid w:val="FF9FF603"/>
    <w:rsid w:val="FFB7E92D"/>
    <w:rsid w:val="FFBD9EB8"/>
    <w:rsid w:val="FFBF74CE"/>
    <w:rsid w:val="FFD7B7DC"/>
    <w:rsid w:val="FFF146F2"/>
    <w:rsid w:val="FFFF63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unhideWhenUsed/>
    <w:qFormat/>
    <w:uiPriority w:val="99"/>
    <w:pPr>
      <w:ind w:firstLine="420" w:firstLineChars="100"/>
    </w:pPr>
  </w:style>
  <w:style w:type="paragraph" w:styleId="3">
    <w:name w:val="Body Text"/>
    <w:basedOn w:val="1"/>
    <w:next w:val="1"/>
    <w:qFormat/>
    <w:uiPriority w:val="0"/>
    <w:pPr>
      <w:spacing w:after="120"/>
    </w:pPr>
  </w:style>
  <w:style w:type="paragraph" w:styleId="4">
    <w:name w:val="Body Text Indent 2"/>
    <w:basedOn w:val="1"/>
    <w:next w:val="5"/>
    <w:qFormat/>
    <w:uiPriority w:val="0"/>
    <w:pPr>
      <w:spacing w:after="120" w:line="480" w:lineRule="auto"/>
      <w:ind w:left="420" w:leftChars="200"/>
    </w:pPr>
  </w:style>
  <w:style w:type="paragraph" w:customStyle="1" w:styleId="5">
    <w:name w:val="z正文"/>
    <w:basedOn w:val="6"/>
    <w:qFormat/>
    <w:uiPriority w:val="99"/>
    <w:pPr>
      <w:snapToGrid w:val="0"/>
      <w:spacing w:line="360" w:lineRule="auto"/>
    </w:pPr>
    <w:rPr>
      <w:rFonts w:hAnsi="宋体"/>
      <w:sz w:val="24"/>
      <w:szCs w:val="20"/>
    </w:rPr>
  </w:style>
  <w:style w:type="paragraph" w:styleId="6">
    <w:name w:val="Plain Text"/>
    <w:basedOn w:val="1"/>
    <w:link w:val="22"/>
    <w:qFormat/>
    <w:uiPriority w:val="0"/>
    <w:rPr>
      <w:rFonts w:ascii="宋体" w:hAnsi="Courier New" w:eastAsia="宋体" w:cs="宋体"/>
      <w:szCs w:val="32"/>
    </w:rPr>
  </w:style>
  <w:style w:type="paragraph" w:styleId="7">
    <w:name w:val="Normal Indent"/>
    <w:basedOn w:val="1"/>
    <w:unhideWhenUsed/>
    <w:qFormat/>
    <w:uiPriority w:val="99"/>
    <w:pPr>
      <w:ind w:firstLine="420" w:firstLineChars="200"/>
    </w:pPr>
  </w:style>
  <w:style w:type="paragraph" w:styleId="8">
    <w:name w:val="annotation text"/>
    <w:basedOn w:val="1"/>
    <w:qFormat/>
    <w:uiPriority w:val="0"/>
    <w:pPr>
      <w:jc w:val="left"/>
    </w:pPr>
  </w:style>
  <w:style w:type="paragraph" w:styleId="9">
    <w:name w:val="Balloon Text"/>
    <w:basedOn w:val="1"/>
    <w:link w:val="23"/>
    <w:qFormat/>
    <w:uiPriority w:val="0"/>
    <w:rPr>
      <w:sz w:val="18"/>
      <w:szCs w:val="18"/>
    </w:rPr>
  </w:style>
  <w:style w:type="paragraph" w:styleId="10">
    <w:name w:val="footer"/>
    <w:basedOn w:val="1"/>
    <w:next w:val="1"/>
    <w:qFormat/>
    <w:uiPriority w:val="0"/>
    <w:pPr>
      <w:tabs>
        <w:tab w:val="center" w:pos="4153"/>
        <w:tab w:val="right" w:pos="8307"/>
      </w:tabs>
      <w:snapToGrid w:val="0"/>
      <w:jc w:val="left"/>
    </w:pPr>
  </w:style>
  <w:style w:type="paragraph" w:styleId="11">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100" w:beforeAutospacing="1" w:after="100" w:afterAutospacing="1"/>
      <w:jc w:val="left"/>
    </w:pPr>
    <w:rPr>
      <w:kern w:val="0"/>
      <w:sz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page number"/>
    <w:basedOn w:val="15"/>
    <w:qFormat/>
    <w:uiPriority w:val="0"/>
  </w:style>
  <w:style w:type="character" w:styleId="17">
    <w:name w:val="annotation reference"/>
    <w:basedOn w:val="15"/>
    <w:qFormat/>
    <w:uiPriority w:val="0"/>
    <w:rPr>
      <w:sz w:val="21"/>
      <w:szCs w:val="21"/>
    </w:rPr>
  </w:style>
  <w:style w:type="paragraph" w:customStyle="1" w:styleId="18">
    <w:name w:val="Body Text First Indent1"/>
    <w:basedOn w:val="3"/>
    <w:qFormat/>
    <w:uiPriority w:val="0"/>
    <w:pPr>
      <w:ind w:firstLine="420" w:firstLineChars="100"/>
    </w:pPr>
  </w:style>
  <w:style w:type="paragraph" w:customStyle="1" w:styleId="19">
    <w:name w:val="正文文本缩进1"/>
    <w:basedOn w:val="1"/>
    <w:next w:val="1"/>
    <w:qFormat/>
    <w:uiPriority w:val="0"/>
    <w:pPr>
      <w:spacing w:line="540" w:lineRule="exact"/>
      <w:ind w:firstLine="640"/>
    </w:pPr>
    <w:rPr>
      <w:rFonts w:ascii="仿宋_GB2312"/>
    </w:rPr>
  </w:style>
  <w:style w:type="character" w:customStyle="1" w:styleId="20">
    <w:name w:val="纯文本 Char"/>
    <w:basedOn w:val="15"/>
    <w:qFormat/>
    <w:uiPriority w:val="0"/>
    <w:rPr>
      <w:rFonts w:ascii="宋体" w:hAnsi="Courier New" w:eastAsia="宋体" w:cs="宋体"/>
      <w:color w:val="auto"/>
      <w:szCs w:val="32"/>
    </w:rPr>
  </w:style>
  <w:style w:type="paragraph" w:customStyle="1" w:styleId="21">
    <w:name w:val="正文首行缩进1"/>
    <w:basedOn w:val="3"/>
    <w:qFormat/>
    <w:uiPriority w:val="0"/>
    <w:pPr>
      <w:ind w:firstLine="420" w:firstLineChars="100"/>
    </w:pPr>
  </w:style>
  <w:style w:type="character" w:customStyle="1" w:styleId="22">
    <w:name w:val="纯文本 Char1"/>
    <w:basedOn w:val="15"/>
    <w:link w:val="6"/>
    <w:qFormat/>
    <w:uiPriority w:val="0"/>
    <w:rPr>
      <w:rFonts w:ascii="宋体" w:hAnsi="Courier New" w:eastAsia="宋体" w:cs="宋体"/>
      <w:color w:val="auto"/>
      <w:szCs w:val="32"/>
    </w:rPr>
  </w:style>
  <w:style w:type="character" w:customStyle="1" w:styleId="23">
    <w:name w:val="批注框文本 Char"/>
    <w:basedOn w:val="15"/>
    <w:link w:val="9"/>
    <w:qFormat/>
    <w:uiPriority w:val="0"/>
    <w:rPr>
      <w:rFonts w:asciiTheme="minorHAnsi" w:hAnsiTheme="minorHAnsi" w:eastAsiaTheme="minorEastAsia" w:cstheme="minorBidi"/>
      <w:kern w:val="2"/>
      <w:sz w:val="18"/>
      <w:szCs w:val="18"/>
    </w:rPr>
  </w:style>
  <w:style w:type="paragraph" w:customStyle="1" w:styleId="24">
    <w:name w:val="正文文本首行缩进1"/>
    <w:basedOn w:val="3"/>
    <w:qFormat/>
    <w:uiPriority w:val="0"/>
    <w:pPr>
      <w:ind w:firstLine="420" w:firstLineChars="100"/>
    </w:p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wmf"/><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62</Pages>
  <Words>18738</Words>
  <Characters>19435</Characters>
  <Lines>159</Lines>
  <Paragraphs>44</Paragraphs>
  <TotalTime>3</TotalTime>
  <ScaleCrop>false</ScaleCrop>
  <LinksUpToDate>false</LinksUpToDate>
  <CharactersWithSpaces>21803</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2018-09-23T09:17:00Z</dcterms:created>
  <dc:creator>卡门</dc:creator>
  <cp:lastModifiedBy>pc1</cp:lastModifiedBy>
  <cp:lastPrinted>2022-05-12T09:26:00Z</cp:lastPrinted>
  <dcterms:modified xsi:type="dcterms:W3CDTF">2022-07-18T09:01:55Z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B9339F34FF6D45AABE1BE422E265844F</vt:lpwstr>
  </property>
  <property fmtid="{D5CDD505-2E9C-101B-9397-08002B2CF9AE}" pid="4" name="KSOSaveFontToCloudKey">
    <vt:lpwstr>483120204_btnclosed</vt:lpwstr>
  </property>
</Properties>
</file>